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3B0B0" w14:textId="77777777" w:rsidR="0001009B" w:rsidRPr="00C93876" w:rsidRDefault="00000000">
      <w:pPr>
        <w:keepNext/>
        <w:spacing w:after="80" w:line="240" w:lineRule="auto" w:before="0"/>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8"/>
          <w:szCs w:val="16"/>
        </w:rPr>
        <w:t>Table S5. Fixed ML surrogate specification</w:t>
      </w:r>
    </w:p>
    <w:p w14:paraId="1C9DFEEC" w14:textId="77777777" w:rsidR="0001009B" w:rsidRPr="00C93876" w:rsidRDefault="00000000" w:rsidP="003F51D2">
      <w:pPr>
        <w:keepNext w:val="0"/>
        <w:spacing w:after="60" w:line="240" w:lineRule="auto" w:before="0"/>
        <w:jc w:val="both"/>
        <w:rPr>
          <w:rFonts w:asciiTheme="majorBidi" w:hAnsiTheme="majorBidi" w:cstheme="majorBidi"/>
          <w:szCs w:val="16"/>
        </w:rPr>
      </w:pPr>
      <w:r>
        <w:rPr>
          <w:rFonts w:ascii="Times New Roman" w:hAnsi="Times New Roman"/>
          <w:b w:val="0"/>
          <w:i/>
          <w:sz w:val="16"/>
        </w:rPr>
        <w:t>Note. The table reports the fixed GBDT/logit settings for the 12 modal-prior surrogates: six modes in Tehran and the same six in Region 12. Feature sets, hyperparameters, and serving controls are fixed before terminal evaluation.</w:t>
      </w:r>
    </w:p>
    <w:p w14:paraId="744952F0" w14:textId="77777777" w:rsidR="0001009B" w:rsidRPr="00C93876" w:rsidRDefault="00000000" w:rsidP="003F51D2">
      <w:pPr>
        <w:keepNext w:val="0"/>
        <w:spacing w:after="40" w:line="240" w:lineRule="auto"/>
        <w:jc w:val="both"/>
        <w:rPr>
          <w:rFonts w:asciiTheme="majorBidi" w:hAnsiTheme="majorBidi" w:cstheme="majorBidi"/>
          <w:szCs w:val="16"/>
        </w:rPr>
      </w:pPr>
      <w:r>
        <w:rPr>
          <w:rFonts w:ascii="Times New Roman" w:hAnsi="Times New Roman" w:eastAsia="Times New Roman" w:cs="Times New Roman"/>
          <w:b w:val="0"/>
          <w:i w:val="0"/>
          <w:color w:val="000000"/>
          <w:sz w:val="16"/>
        </w:rPr>
        <w:t>Behavioral monetary inputs enter the modal-prior feature matrix through trip-level access charges and bus/metro fares. Fiscal accounting quantities—including revenue, subsidy, OPEX, CAPEX, budgets, and farebox measures—are excluded from the ML feature matrix. This separation is verified in the dependency structure and prevents accounting-scale quantities from entering modal-prior prediction.</w:t>
      </w:r>
    </w:p>
    <w:tbl>
      <w:tblPr>
        <w:tblStyle w:val="TableGrid"/>
        <w:tblW w:w="1530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5" w:type="dxa"/>
          <w:left w:w="35" w:type="dxa"/>
          <w:bottom w:w="35" w:type="dxa"/>
          <w:right w:w="35" w:type="dxa"/>
        </w:tblCellMar>
        <w:tblLook w:val="04A0" w:firstRow="1" w:lastRow="0" w:firstColumn="1" w:lastColumn="0" w:noHBand="0" w:noVBand="1"/>
      </w:tblPr>
      <w:tblGrid>
        <w:gridCol w:w="1489"/>
        <w:gridCol w:w="3476"/>
        <w:gridCol w:w="1241"/>
        <w:gridCol w:w="1241"/>
        <w:gridCol w:w="1407"/>
        <w:gridCol w:w="1407"/>
        <w:gridCol w:w="1241"/>
        <w:gridCol w:w="1986"/>
        <w:gridCol w:w="1821"/>
      </w:tblGrid>
      <w:tr w:rsidR="0001009B" w:rsidRPr="00C93876" w14:paraId="6C7E666E" w14:textId="77777777">
        <w:trPr>
          <w:cantSplit/>
          <w:tblHeader w:val="true"/>
          <w:jc w:val="center"/>
        </w:trPr>
        <w:tc>
          <w:tcPr>
            <w:tcW w:w="1296" w:type="dxa"/>
            <w:shd w:val="clear" w:color="auto" w:fill="E7E6E6"/>
            <w:tcMar>
              <w:top w:w="40" w:type="dxa"/>
              <w:left w:w="65" w:type="dxa"/>
              <w:bottom w:w="40" w:type="dxa"/>
              <w:right w:w="65" w:type="dxa"/>
              <w:start w:w="45" w:type="dxa"/>
              <w:end w:w="45" w:type="dxa"/>
            </w:tcMar>
            <w:vAlign w:val="center"/>
          </w:tcPr>
          <w:p w14:paraId="3BFFABA9"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Region</w:t>
            </w:r>
          </w:p>
        </w:tc>
        <w:tc>
          <w:tcPr>
            <w:tcW w:w="3024" w:type="dxa"/>
            <w:shd w:val="clear" w:color="auto" w:fill="E7E6E6"/>
            <w:tcMar>
              <w:top w:w="40" w:type="dxa"/>
              <w:left w:w="65" w:type="dxa"/>
              <w:bottom w:w="40" w:type="dxa"/>
              <w:right w:w="65" w:type="dxa"/>
              <w:start w:w="45" w:type="dxa"/>
              <w:end w:w="45" w:type="dxa"/>
            </w:tcMar>
            <w:vAlign w:val="center"/>
          </w:tcPr>
          <w:p>
            <w:pPr>
              <w:spacing w:before="0" w:after="0" w:line="240" w:lineRule="auto"/>
              <w:jc w:val="center"/>
            </w:pPr>
            <w:r>
              <w:rPr>
                <w:rFonts w:ascii="Times New Roman" w:hAnsi="Times New Roman" w:eastAsia="Times New Roman" w:cs="Times New Roman"/>
                <w:b/>
                <w:i w:val="0"/>
                <w:color w:val="000000"/>
                <w:sz w:val="16"/>
              </w:rPr>
            </w:r>
            <w:r>
              <w:rPr>
                <w:rFonts w:ascii="Times New Roman" w:hAnsi="Times New Roman" w:eastAsia="Times New Roman" w:cs="Times New Roman"/>
                <w:b/>
                <w:i w:val="0"/>
                <w:color w:val="000000"/>
                <w:sz w:val="16"/>
              </w:rPr>
              <w:t>Modal prior</w:t>
            </w:r>
          </w:p>
        </w:tc>
        <w:tc>
          <w:tcPr>
            <w:tcW w:w="1080" w:type="dxa"/>
            <w:shd w:val="clear" w:color="auto" w:fill="E7E6E6"/>
            <w:tcMar>
              <w:top w:w="40" w:type="dxa"/>
              <w:left w:w="65" w:type="dxa"/>
              <w:bottom w:w="40" w:type="dxa"/>
              <w:right w:w="65" w:type="dxa"/>
              <w:start w:w="45" w:type="dxa"/>
              <w:end w:w="45" w:type="dxa"/>
            </w:tcMar>
            <w:vAlign w:val="center"/>
          </w:tcPr>
          <w:p w14:paraId="154523F9"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Transform</w:t>
            </w:r>
          </w:p>
        </w:tc>
        <w:tc>
          <w:tcPr>
            <w:tcW w:w="1080" w:type="dxa"/>
            <w:shd w:val="clear" w:color="auto" w:fill="E7E6E6"/>
            <w:tcMar>
              <w:top w:w="40" w:type="dxa"/>
              <w:left w:w="65" w:type="dxa"/>
              <w:bottom w:w="40" w:type="dxa"/>
              <w:right w:w="65" w:type="dxa"/>
              <w:start w:w="45" w:type="dxa"/>
              <w:end w:w="45" w:type="dxa"/>
            </w:tcMar>
            <w:vAlign w:val="center"/>
          </w:tcPr>
          <w:p>
            <w:pPr>
              <w:spacing w:before="0" w:after="0" w:line="240" w:lineRule="auto"/>
              <w:jc w:val="center"/>
            </w:pPr>
            <w:r>
              <w:rPr>
                <w:rFonts w:ascii="Times New Roman" w:hAnsi="Times New Roman" w:eastAsia="Times New Roman" w:cs="Times New Roman"/>
                <w:b/>
                <w:i w:val="0"/>
                <w:color w:val="000000"/>
                <w:sz w:val="16"/>
              </w:rPr>
            </w:r>
            <w:r>
              <w:rPr>
                <w:rFonts w:ascii="Times New Roman" w:hAnsi="Times New Roman" w:eastAsia="Times New Roman" w:cs="Times New Roman"/>
                <w:b/>
                <w:i w:val="0"/>
                <w:color w:val="000000"/>
                <w:sz w:val="16"/>
              </w:rPr>
              <w:t>Boosting stages</w:t>
            </w:r>
          </w:p>
        </w:tc>
        <w:tc>
          <w:tcPr>
            <w:tcW w:w="1224" w:type="dxa"/>
            <w:shd w:val="clear" w:color="auto" w:fill="E7E6E6"/>
            <w:tcMar>
              <w:top w:w="40" w:type="dxa"/>
              <w:left w:w="65" w:type="dxa"/>
              <w:bottom w:w="40" w:type="dxa"/>
              <w:right w:w="65" w:type="dxa"/>
              <w:start w:w="45" w:type="dxa"/>
              <w:end w:w="45" w:type="dxa"/>
            </w:tcMar>
            <w:vAlign w:val="center"/>
          </w:tcPr>
          <w:p w14:paraId="4288C488"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Learning rate</w:t>
            </w:r>
          </w:p>
        </w:tc>
        <w:tc>
          <w:tcPr>
            <w:tcW w:w="1224" w:type="dxa"/>
            <w:shd w:val="clear" w:color="auto" w:fill="E7E6E6"/>
            <w:tcMar>
              <w:top w:w="40" w:type="dxa"/>
              <w:left w:w="65" w:type="dxa"/>
              <w:bottom w:w="40" w:type="dxa"/>
              <w:right w:w="65" w:type="dxa"/>
              <w:start w:w="45" w:type="dxa"/>
              <w:end w:w="45" w:type="dxa"/>
            </w:tcMar>
            <w:vAlign w:val="center"/>
          </w:tcPr>
          <w:p w14:paraId="13E87B16"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Maximum depth</w:t>
            </w:r>
          </w:p>
        </w:tc>
        <w:tc>
          <w:tcPr>
            <w:tcW w:w="1080" w:type="dxa"/>
            <w:shd w:val="clear" w:color="auto" w:fill="E7E6E6"/>
            <w:tcMar>
              <w:top w:w="40" w:type="dxa"/>
              <w:left w:w="65" w:type="dxa"/>
              <w:bottom w:w="40" w:type="dxa"/>
              <w:right w:w="65" w:type="dxa"/>
              <w:start w:w="45" w:type="dxa"/>
              <w:end w:w="45" w:type="dxa"/>
            </w:tcMar>
            <w:vAlign w:val="center"/>
          </w:tcPr>
          <w:p w14:paraId="58C6C12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Subsample</w:t>
            </w:r>
          </w:p>
        </w:tc>
        <w:tc>
          <w:tcPr>
            <w:tcW w:w="1728" w:type="dxa"/>
            <w:shd w:val="clear" w:color="auto" w:fill="E7E6E6"/>
            <w:tcMar>
              <w:top w:w="40" w:type="dxa"/>
              <w:left w:w="65" w:type="dxa"/>
              <w:bottom w:w="40" w:type="dxa"/>
              <w:right w:w="65" w:type="dxa"/>
              <w:start w:w="45" w:type="dxa"/>
              <w:end w:w="45" w:type="dxa"/>
            </w:tcMar>
            <w:vAlign w:val="center"/>
          </w:tcPr>
          <w:p w14:paraId="5BEBC31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b/>
                <w:i w:val="0"/>
                <w:color w:val="000000"/>
                <w:sz w:val="16"/>
                <w:szCs w:val="16"/>
              </w:rPr>
              <w:t>Minimum samples per leaf</w:t>
            </w:r>
          </w:p>
        </w:tc>
      </w:tr>
      <w:tr w:rsidR="0001009B" w:rsidRPr="00C93876" w14:paraId="67B092C8"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482C819F"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Motorcycle</w:t>
            </w:r>
          </w:p>
        </w:tc>
        <w:tc>
          <w:tcPr>
            <w:tcW w:w="1080" w:type="dxa"/>
            <w:shd w:val="clear" w:color="auto" w:fill="FFFFFF"/>
            <w:tcMar>
              <w:top w:w="40" w:type="dxa"/>
              <w:left w:w="65" w:type="dxa"/>
              <w:bottom w:w="40" w:type="dxa"/>
              <w:right w:w="65" w:type="dxa"/>
              <w:start w:w="45" w:type="dxa"/>
              <w:end w:w="45" w:type="dxa"/>
            </w:tcMar>
            <w:vAlign w:val="top"/>
          </w:tcPr>
          <w:p w14:paraId="2ECBC23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59E5713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5234692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3FB1C1E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216957A6"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615437C5"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6594CA4A"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7BFBFDE9"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Car</w:t>
            </w:r>
          </w:p>
        </w:tc>
        <w:tc>
          <w:tcPr>
            <w:tcW w:w="1080" w:type="dxa"/>
            <w:shd w:val="clear" w:color="auto" w:fill="FFFFFF"/>
            <w:tcMar>
              <w:top w:w="40" w:type="dxa"/>
              <w:left w:w="65" w:type="dxa"/>
              <w:bottom w:w="40" w:type="dxa"/>
              <w:right w:w="65" w:type="dxa"/>
              <w:start w:w="45" w:type="dxa"/>
              <w:end w:w="45" w:type="dxa"/>
            </w:tcMar>
            <w:vAlign w:val="top"/>
          </w:tcPr>
          <w:p w14:paraId="3CCBEAD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75FC7C8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7241A1F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5AEEEAED"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1AB7657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08BD024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4378F523"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182172F2"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Taxi</w:t>
            </w:r>
          </w:p>
        </w:tc>
        <w:tc>
          <w:tcPr>
            <w:tcW w:w="1080" w:type="dxa"/>
            <w:shd w:val="clear" w:color="auto" w:fill="FFFFFF"/>
            <w:tcMar>
              <w:top w:w="40" w:type="dxa"/>
              <w:left w:w="65" w:type="dxa"/>
              <w:bottom w:w="40" w:type="dxa"/>
              <w:right w:w="65" w:type="dxa"/>
              <w:start w:w="45" w:type="dxa"/>
              <w:end w:w="45" w:type="dxa"/>
            </w:tcMar>
            <w:vAlign w:val="top"/>
          </w:tcPr>
          <w:p w14:paraId="715DF21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3C1E1867"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699B078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7B7D87C8"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19CF028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35A022FF"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56F3BACC"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126124DF"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Bus</w:t>
            </w:r>
          </w:p>
        </w:tc>
        <w:tc>
          <w:tcPr>
            <w:tcW w:w="1080" w:type="dxa"/>
            <w:shd w:val="clear" w:color="auto" w:fill="FFFFFF"/>
            <w:tcMar>
              <w:top w:w="40" w:type="dxa"/>
              <w:left w:w="65" w:type="dxa"/>
              <w:bottom w:w="40" w:type="dxa"/>
              <w:right w:w="65" w:type="dxa"/>
              <w:start w:w="45" w:type="dxa"/>
              <w:end w:w="45" w:type="dxa"/>
            </w:tcMar>
            <w:vAlign w:val="top"/>
          </w:tcPr>
          <w:p w14:paraId="5669E8D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3816F9FE"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64815658"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50DA5C56"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64153E6F"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1E09177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248C1AE7"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5F521001"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Metro</w:t>
            </w:r>
          </w:p>
        </w:tc>
        <w:tc>
          <w:tcPr>
            <w:tcW w:w="1080" w:type="dxa"/>
            <w:shd w:val="clear" w:color="auto" w:fill="FFFFFF"/>
            <w:tcMar>
              <w:top w:w="40" w:type="dxa"/>
              <w:left w:w="65" w:type="dxa"/>
              <w:bottom w:w="40" w:type="dxa"/>
              <w:right w:w="65" w:type="dxa"/>
              <w:start w:w="45" w:type="dxa"/>
              <w:end w:w="45" w:type="dxa"/>
            </w:tcMar>
            <w:vAlign w:val="top"/>
          </w:tcPr>
          <w:p w14:paraId="3D480751"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0F4D8A37"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2CBC2704"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49317F6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0AF22A34"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0749C9D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079D1AD1"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2DF0E6FC"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Tehran</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Other</w:t>
            </w:r>
          </w:p>
        </w:tc>
        <w:tc>
          <w:tcPr>
            <w:tcW w:w="1080" w:type="dxa"/>
            <w:shd w:val="clear" w:color="auto" w:fill="FFFFFF"/>
            <w:tcMar>
              <w:top w:w="40" w:type="dxa"/>
              <w:left w:w="65" w:type="dxa"/>
              <w:bottom w:w="40" w:type="dxa"/>
              <w:right w:w="65" w:type="dxa"/>
              <w:start w:w="45" w:type="dxa"/>
              <w:end w:w="45" w:type="dxa"/>
            </w:tcMar>
            <w:vAlign w:val="top"/>
          </w:tcPr>
          <w:p w14:paraId="0621023E"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3B5FC4E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6411136D"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7E232A10"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2611B67A"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10923A2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38FF5FB9"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311A742E"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Motorcycle</w:t>
            </w:r>
          </w:p>
        </w:tc>
        <w:tc>
          <w:tcPr>
            <w:tcW w:w="1080" w:type="dxa"/>
            <w:shd w:val="clear" w:color="auto" w:fill="FFFFFF"/>
            <w:tcMar>
              <w:top w:w="40" w:type="dxa"/>
              <w:left w:w="65" w:type="dxa"/>
              <w:bottom w:w="40" w:type="dxa"/>
              <w:right w:w="65" w:type="dxa"/>
              <w:start w:w="45" w:type="dxa"/>
              <w:end w:w="45" w:type="dxa"/>
            </w:tcMar>
            <w:vAlign w:val="top"/>
          </w:tcPr>
          <w:p w14:paraId="00C88E7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290D8FE5"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800</w:t>
            </w:r>
          </w:p>
        </w:tc>
        <w:tc>
          <w:tcPr>
            <w:tcW w:w="1224" w:type="dxa"/>
            <w:shd w:val="clear" w:color="auto" w:fill="FFFFFF"/>
            <w:tcMar>
              <w:top w:w="40" w:type="dxa"/>
              <w:left w:w="65" w:type="dxa"/>
              <w:bottom w:w="40" w:type="dxa"/>
              <w:right w:w="65" w:type="dxa"/>
              <w:start w:w="45" w:type="dxa"/>
              <w:end w:w="45" w:type="dxa"/>
            </w:tcMar>
            <w:vAlign w:val="top"/>
          </w:tcPr>
          <w:p w14:paraId="08560DED"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0.03</w:t>
            </w:r>
          </w:p>
        </w:tc>
        <w:tc>
          <w:tcPr>
            <w:tcW w:w="1224" w:type="dxa"/>
            <w:shd w:val="clear" w:color="auto" w:fill="FFFFFF"/>
            <w:tcMar>
              <w:top w:w="40" w:type="dxa"/>
              <w:left w:w="65" w:type="dxa"/>
              <w:bottom w:w="40" w:type="dxa"/>
              <w:right w:w="65" w:type="dxa"/>
              <w:start w:w="45" w:type="dxa"/>
              <w:end w:w="45" w:type="dxa"/>
            </w:tcMar>
            <w:vAlign w:val="top"/>
          </w:tcPr>
          <w:p w14:paraId="6860F1E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4</w:t>
            </w:r>
          </w:p>
        </w:tc>
        <w:tc>
          <w:tcPr>
            <w:tcW w:w="1080" w:type="dxa"/>
            <w:shd w:val="clear" w:color="auto" w:fill="FFFFFF"/>
            <w:tcMar>
              <w:top w:w="40" w:type="dxa"/>
              <w:left w:w="65" w:type="dxa"/>
              <w:bottom w:w="40" w:type="dxa"/>
              <w:right w:w="65" w:type="dxa"/>
              <w:start w:w="45" w:type="dxa"/>
              <w:end w:w="45" w:type="dxa"/>
            </w:tcMar>
            <w:vAlign w:val="top"/>
          </w:tcPr>
          <w:p w14:paraId="6A2C56CF"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420B3457"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30589451"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38080BDB"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Car</w:t>
            </w:r>
          </w:p>
        </w:tc>
        <w:tc>
          <w:tcPr>
            <w:tcW w:w="1080" w:type="dxa"/>
            <w:shd w:val="clear" w:color="auto" w:fill="FFFFFF"/>
            <w:tcMar>
              <w:top w:w="40" w:type="dxa"/>
              <w:left w:w="65" w:type="dxa"/>
              <w:bottom w:w="40" w:type="dxa"/>
              <w:right w:w="65" w:type="dxa"/>
              <w:start w:w="45" w:type="dxa"/>
              <w:end w:w="45" w:type="dxa"/>
            </w:tcMar>
            <w:vAlign w:val="top"/>
          </w:tcPr>
          <w:p w14:paraId="6600772A"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3AE86E4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600</w:t>
            </w:r>
          </w:p>
        </w:tc>
        <w:tc>
          <w:tcPr>
            <w:tcW w:w="1224" w:type="dxa"/>
            <w:shd w:val="clear" w:color="auto" w:fill="FFFFFF"/>
            <w:tcMar>
              <w:top w:w="40" w:type="dxa"/>
              <w:left w:w="65" w:type="dxa"/>
              <w:bottom w:w="40" w:type="dxa"/>
              <w:right w:w="65" w:type="dxa"/>
              <w:start w:w="45" w:type="dxa"/>
              <w:end w:w="45" w:type="dxa"/>
            </w:tcMar>
            <w:vAlign w:val="top"/>
          </w:tcPr>
          <w:p w14:paraId="01DAB851"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3EDDA2D7"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57BCDA6A"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0313E9D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41719CAC"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513EB62D"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Taxi</w:t>
            </w:r>
          </w:p>
        </w:tc>
        <w:tc>
          <w:tcPr>
            <w:tcW w:w="1080" w:type="dxa"/>
            <w:shd w:val="clear" w:color="auto" w:fill="FFFFFF"/>
            <w:tcMar>
              <w:top w:w="40" w:type="dxa"/>
              <w:left w:w="65" w:type="dxa"/>
              <w:bottom w:w="40" w:type="dxa"/>
              <w:right w:w="65" w:type="dxa"/>
              <w:start w:w="45" w:type="dxa"/>
              <w:end w:w="45" w:type="dxa"/>
            </w:tcMar>
            <w:vAlign w:val="top"/>
          </w:tcPr>
          <w:p w14:paraId="39D0477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0651C3FF"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600</w:t>
            </w:r>
          </w:p>
        </w:tc>
        <w:tc>
          <w:tcPr>
            <w:tcW w:w="1224" w:type="dxa"/>
            <w:shd w:val="clear" w:color="auto" w:fill="FFFFFF"/>
            <w:tcMar>
              <w:top w:w="40" w:type="dxa"/>
              <w:left w:w="65" w:type="dxa"/>
              <w:bottom w:w="40" w:type="dxa"/>
              <w:right w:w="65" w:type="dxa"/>
              <w:start w:w="45" w:type="dxa"/>
              <w:end w:w="45" w:type="dxa"/>
            </w:tcMar>
            <w:vAlign w:val="top"/>
          </w:tcPr>
          <w:p w14:paraId="09D8D07A"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5DC28CB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0B9C613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094AE2BD"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3937F336"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3E9453BE"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Bus</w:t>
            </w:r>
          </w:p>
        </w:tc>
        <w:tc>
          <w:tcPr>
            <w:tcW w:w="1080" w:type="dxa"/>
            <w:shd w:val="clear" w:color="auto" w:fill="FFFFFF"/>
            <w:tcMar>
              <w:top w:w="40" w:type="dxa"/>
              <w:left w:w="65" w:type="dxa"/>
              <w:bottom w:w="40" w:type="dxa"/>
              <w:right w:w="65" w:type="dxa"/>
              <w:start w:w="45" w:type="dxa"/>
              <w:end w:w="45" w:type="dxa"/>
            </w:tcMar>
            <w:vAlign w:val="top"/>
          </w:tcPr>
          <w:p w14:paraId="2AC5B438"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7D9F954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600</w:t>
            </w:r>
          </w:p>
        </w:tc>
        <w:tc>
          <w:tcPr>
            <w:tcW w:w="1224" w:type="dxa"/>
            <w:shd w:val="clear" w:color="auto" w:fill="FFFFFF"/>
            <w:tcMar>
              <w:top w:w="40" w:type="dxa"/>
              <w:left w:w="65" w:type="dxa"/>
              <w:bottom w:w="40" w:type="dxa"/>
              <w:right w:w="65" w:type="dxa"/>
              <w:start w:w="45" w:type="dxa"/>
              <w:end w:w="45" w:type="dxa"/>
            </w:tcMar>
            <w:vAlign w:val="top"/>
          </w:tcPr>
          <w:p w14:paraId="6E2F4CFD"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27A971B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2A7CFB76"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17C7A042"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2C8DB435"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327A2AAC"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Metro</w:t>
            </w:r>
          </w:p>
        </w:tc>
        <w:tc>
          <w:tcPr>
            <w:tcW w:w="1080" w:type="dxa"/>
            <w:shd w:val="clear" w:color="auto" w:fill="FFFFFF"/>
            <w:tcMar>
              <w:top w:w="40" w:type="dxa"/>
              <w:left w:w="65" w:type="dxa"/>
              <w:bottom w:w="40" w:type="dxa"/>
              <w:right w:w="65" w:type="dxa"/>
              <w:start w:w="45" w:type="dxa"/>
              <w:end w:w="45" w:type="dxa"/>
            </w:tcMar>
            <w:vAlign w:val="top"/>
          </w:tcPr>
          <w:p w14:paraId="592825DB"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74411893"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1200</w:t>
            </w:r>
          </w:p>
        </w:tc>
        <w:tc>
          <w:tcPr>
            <w:tcW w:w="1224" w:type="dxa"/>
            <w:shd w:val="clear" w:color="auto" w:fill="FFFFFF"/>
            <w:tcMar>
              <w:top w:w="40" w:type="dxa"/>
              <w:left w:w="65" w:type="dxa"/>
              <w:bottom w:w="40" w:type="dxa"/>
              <w:right w:w="65" w:type="dxa"/>
              <w:start w:w="45" w:type="dxa"/>
              <w:end w:w="45" w:type="dxa"/>
            </w:tcMar>
            <w:vAlign w:val="top"/>
          </w:tcPr>
          <w:p w14:paraId="0058AD54"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0.03</w:t>
            </w:r>
          </w:p>
        </w:tc>
        <w:tc>
          <w:tcPr>
            <w:tcW w:w="1224" w:type="dxa"/>
            <w:shd w:val="clear" w:color="auto" w:fill="FFFFFF"/>
            <w:tcMar>
              <w:top w:w="40" w:type="dxa"/>
              <w:left w:w="65" w:type="dxa"/>
              <w:bottom w:w="40" w:type="dxa"/>
              <w:right w:w="65" w:type="dxa"/>
              <w:start w:w="45" w:type="dxa"/>
              <w:end w:w="45" w:type="dxa"/>
            </w:tcMar>
            <w:vAlign w:val="top"/>
          </w:tcPr>
          <w:p w14:paraId="64FE0E9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4</w:t>
            </w:r>
          </w:p>
        </w:tc>
        <w:tc>
          <w:tcPr>
            <w:tcW w:w="1080" w:type="dxa"/>
            <w:shd w:val="clear" w:color="auto" w:fill="FFFFFF"/>
            <w:tcMar>
              <w:top w:w="40" w:type="dxa"/>
              <w:left w:w="65" w:type="dxa"/>
              <w:bottom w:w="40" w:type="dxa"/>
              <w:right w:w="65" w:type="dxa"/>
              <w:start w:w="45" w:type="dxa"/>
              <w:end w:w="45" w:type="dxa"/>
            </w:tcMar>
            <w:vAlign w:val="top"/>
          </w:tcPr>
          <w:p w14:paraId="01835F21"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27E5186E"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r w:rsidR="0001009B" w:rsidRPr="00C93876" w14:paraId="4FB856B4" w14:textId="77777777">
        <w:trPr>
          <w:cantSplit/>
          <w:jc w:val="center"/>
        </w:trPr>
        <w:tc>
          <w:tcPr>
            <w:tcW w:w="1296" w:type="dxa"/>
            <w:shd w:val="clear" w:color="auto" w:fill="FFFFFF"/>
            <w:tcMar>
              <w:top w:w="40" w:type="dxa"/>
              <w:left w:w="65" w:type="dxa"/>
              <w:bottom w:w="40" w:type="dxa"/>
              <w:right w:w="65" w:type="dxa"/>
              <w:start w:w="45" w:type="dxa"/>
              <w:end w:w="45" w:type="dxa"/>
            </w:tcMar>
            <w:vAlign w:val="top"/>
          </w:tcPr>
          <w:p w14:paraId="53472EAE" w14:textId="77777777" w:rsidR="0001009B" w:rsidRPr="00C93876" w:rsidRDefault="00000000">
            <w:pPr>
              <w:spacing w:before="0" w:after="0" w:line="240" w:lineRule="auto"/>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Region 12</w:t>
            </w:r>
          </w:p>
        </w:tc>
        <w:tc>
          <w:tcPr>
            <w:tcW w:w="3024" w:type="dxa"/>
            <w:shd w:val="clear" w:color="auto" w:fill="FFFFFF"/>
            <w:tcMar>
              <w:top w:w="40" w:type="dxa"/>
              <w:left w:w="65" w:type="dxa"/>
              <w:bottom w:w="40" w:type="dxa"/>
              <w:right w:w="65" w:type="dxa"/>
              <w:start w:w="45" w:type="dxa"/>
              <w:end w:w="45" w:type="dxa"/>
            </w:tcMar>
            <w:vAlign w:val="top"/>
          </w:tcPr>
          <w:p>
            <w:pPr>
              <w:spacing w:before="0" w:after="0" w:line="240" w:lineRule="auto"/>
            </w:pPr>
            <w:r>
              <w:rPr>
                <w:rFonts w:ascii="Times New Roman" w:hAnsi="Times New Roman" w:eastAsia="Times New Roman" w:cs="Times New Roman"/>
                <w:color w:val="000000"/>
                <w:sz w:val="16"/>
              </w:rPr>
            </w:r>
            <w:r>
              <w:rPr>
                <w:rFonts w:ascii="Times New Roman" w:hAnsi="Times New Roman" w:eastAsia="Times New Roman" w:cs="Times New Roman"/>
                <w:b w:val="0"/>
                <w:i w:val="0"/>
                <w:color w:val="000000"/>
                <w:sz w:val="16"/>
              </w:rPr>
              <w:t>Other</w:t>
            </w:r>
          </w:p>
        </w:tc>
        <w:tc>
          <w:tcPr>
            <w:tcW w:w="1080" w:type="dxa"/>
            <w:shd w:val="clear" w:color="auto" w:fill="FFFFFF"/>
            <w:tcMar>
              <w:top w:w="40" w:type="dxa"/>
              <w:left w:w="65" w:type="dxa"/>
              <w:bottom w:w="40" w:type="dxa"/>
              <w:right w:w="65" w:type="dxa"/>
              <w:start w:w="45" w:type="dxa"/>
              <w:end w:w="45" w:type="dxa"/>
            </w:tcMar>
            <w:vAlign w:val="top"/>
          </w:tcPr>
          <w:p w14:paraId="02E1F85C"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logit</w:t>
            </w:r>
          </w:p>
        </w:tc>
        <w:tc>
          <w:tcPr>
            <w:tcW w:w="1080" w:type="dxa"/>
            <w:shd w:val="clear" w:color="auto" w:fill="FFFFFF"/>
            <w:tcMar>
              <w:top w:w="40" w:type="dxa"/>
              <w:left w:w="65" w:type="dxa"/>
              <w:bottom w:w="40" w:type="dxa"/>
              <w:right w:w="65" w:type="dxa"/>
              <w:start w:w="45" w:type="dxa"/>
              <w:end w:w="45" w:type="dxa"/>
            </w:tcMar>
            <w:vAlign w:val="top"/>
          </w:tcPr>
          <w:p w14:paraId="32019DE4"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300</w:t>
            </w:r>
          </w:p>
        </w:tc>
        <w:tc>
          <w:tcPr>
            <w:tcW w:w="1224" w:type="dxa"/>
            <w:shd w:val="clear" w:color="auto" w:fill="FFFFFF"/>
            <w:tcMar>
              <w:top w:w="40" w:type="dxa"/>
              <w:left w:w="65" w:type="dxa"/>
              <w:bottom w:w="40" w:type="dxa"/>
              <w:right w:w="65" w:type="dxa"/>
              <w:start w:w="45" w:type="dxa"/>
              <w:end w:w="45" w:type="dxa"/>
            </w:tcMar>
            <w:vAlign w:val="top"/>
          </w:tcPr>
          <w:p w14:paraId="0312FDB7"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0.05</w:t>
            </w:r>
          </w:p>
        </w:tc>
        <w:tc>
          <w:tcPr>
            <w:tcW w:w="1224" w:type="dxa"/>
            <w:shd w:val="clear" w:color="auto" w:fill="FFFFFF"/>
            <w:tcMar>
              <w:top w:w="40" w:type="dxa"/>
              <w:left w:w="65" w:type="dxa"/>
              <w:bottom w:w="40" w:type="dxa"/>
              <w:right w:w="65" w:type="dxa"/>
              <w:start w:w="45" w:type="dxa"/>
              <w:end w:w="45" w:type="dxa"/>
            </w:tcMar>
            <w:vAlign w:val="top"/>
          </w:tcPr>
          <w:p w14:paraId="0A9BFD59"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3</w:t>
            </w:r>
          </w:p>
        </w:tc>
        <w:tc>
          <w:tcPr>
            <w:tcW w:w="1080" w:type="dxa"/>
            <w:shd w:val="clear" w:color="auto" w:fill="FFFFFF"/>
            <w:tcMar>
              <w:top w:w="40" w:type="dxa"/>
              <w:left w:w="65" w:type="dxa"/>
              <w:bottom w:w="40" w:type="dxa"/>
              <w:right w:w="65" w:type="dxa"/>
              <w:start w:w="45" w:type="dxa"/>
              <w:end w:w="45" w:type="dxa"/>
            </w:tcMar>
            <w:vAlign w:val="top"/>
          </w:tcPr>
          <w:p w14:paraId="1D52E4BA"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0.90</w:t>
            </w:r>
          </w:p>
        </w:tc>
        <w:tc>
          <w:tcPr>
            <w:tcW w:w="1728" w:type="dxa"/>
            <w:shd w:val="clear" w:color="auto" w:fill="FFFFFF"/>
            <w:tcMar>
              <w:top w:w="40" w:type="dxa"/>
              <w:left w:w="65" w:type="dxa"/>
              <w:bottom w:w="40" w:type="dxa"/>
              <w:right w:w="65" w:type="dxa"/>
              <w:start w:w="45" w:type="dxa"/>
              <w:end w:w="45" w:type="dxa"/>
            </w:tcMar>
            <w:vAlign w:val="top"/>
          </w:tcPr>
          <w:p w14:paraId="101D702E" w14:textId="77777777" w:rsidR="0001009B" w:rsidRPr="00C93876" w:rsidRDefault="00000000">
            <w:pPr>
              <w:spacing w:before="0" w:after="0" w:line="240" w:lineRule="auto"/>
              <w:jc w:val="center"/>
              <w:rPr>
                <w:rFonts w:asciiTheme="majorBidi" w:hAnsiTheme="majorBidi" w:cstheme="majorBidi"/>
                <w:szCs w:val="16"/>
              </w:rPr>
            </w:pPr>
            <w:r w:rsidRPr="00C93876">
              <w:rPr>
                <w:rFonts w:asciiTheme="majorBidi" w:eastAsia="Times New Roman" w:hAnsiTheme="majorBidi" w:cstheme="majorBidi" w:ascii="Times New Roman" w:hAnsi="Times New Roman" w:cs="Times New Roman"/>
                <w:color w:val="000000"/>
                <w:sz w:val="16"/>
                <w:szCs w:val="16"/>
              </w:rPr>
              <w:t>1</w:t>
            </w:r>
          </w:p>
        </w:tc>
      </w:tr>
    </w:tbl>
    <w:p>
      <w:pPr>
        <w:jc w:val="both"/>
        <w:spacing w:after="80"/>
      </w:pPr>
      <w:r>
        <w:rPr>
          <w:rFonts w:ascii="Times New Roman" w:hAnsi="Times New Roman"/>
          <w:sz w:val="16"/>
          <w:szCs w:val="16"/>
        </w:rPr>
        <w:t>Serving controls. All 12 surrogates use a logit epsilon of 10⁻⁶ and prediction clipping to [0, 0.95]. The serving update rate is 1.00 for all Tehran priors and, in the modal order shown above, (0.70, 0.80, 0.80, 0.80, 0.60, 0.80) for Region 12. Configured agent bounds additionally apply to the Region 12 motorcycle prior [0.15445, 0.23255] and metro prior [0.14610, 0.27590]. These controls remain fixed during validation and projection.</w:t>
      </w:r>
    </w:p>
    <w:p w14:paraId="6DE31ABE" w14:textId="77777777" w:rsidR="0001009B" w:rsidRPr="00C93876" w:rsidRDefault="0001009B">
      <w:pPr>
        <w:keepNext w:val="0"/>
        <w:spacing w:line="240" w:lineRule="auto" w:after="40"/>
        <w:rPr>
          <w:rFonts w:asciiTheme="majorBidi" w:hAnsiTheme="majorBidi" w:cstheme="majorBidi"/>
          <w:szCs w:val="16"/>
        </w:rPr>
      </w:pPr>
    </w:p>
    <w:p w14:paraId="3C85E5AE" w14:textId="77777777" w:rsidR="0001009B" w:rsidRPr="00C93876" w:rsidRDefault="00000000" w:rsidP="003F51D2">
      <w:pPr>
        <w:keepNext w:val="0"/>
        <w:spacing w:after="40" w:line="240" w:lineRule="auto"/>
        <w:jc w:val="both"/>
        <w:rPr>
          <w:rFonts w:asciiTheme="majorBidi" w:hAnsiTheme="majorBidi" w:cstheme="majorBidi"/>
          <w:szCs w:val="16"/>
        </w:rPr>
      </w:pPr>
      <w:r>
        <w:rPr>
          <w:rFonts w:ascii="Times New Roman" w:hAnsi="Times New Roman" w:eastAsia="Times New Roman" w:cs="Times New Roman"/>
          <w:b w:val="0"/>
          <w:i w:val="0"/>
          <w:color w:val="000000"/>
          <w:sz w:val="16"/>
        </w:rPr>
        <w:t>All predictors use a one-year lookback, except the calendar-year descriptor, which is known before prediction. The final projection fits therefore use 11 input-target pairs from the 12-year historical record. During terminal validation and projection, observed endogenous outcomes do not replace simulated states; subsequent lags are generated from the committed simulated state.</w:t>
      </w:r>
    </w:p>
    <w:p w14:paraId="77C92B62" w14:textId="77777777" w:rsidR="0001009B" w:rsidRPr="00C93876" w:rsidRDefault="00000000" w:rsidP="003F51D2">
      <w:pPr>
        <w:keepNext w:val="0"/>
        <w:spacing w:after="40" w:line="240" w:lineRule="auto"/>
        <w:jc w:val="both"/>
        <w:rPr>
          <w:rFonts w:asciiTheme="majorBidi" w:hAnsiTheme="majorBidi" w:cstheme="majorBidi"/>
          <w:szCs w:val="16"/>
        </w:rPr>
      </w:pPr>
      <w:r>
        <w:rPr>
          <w:rFonts w:ascii="Times New Roman" w:hAnsi="Times New Roman" w:eastAsia="Times New Roman" w:cs="Times New Roman"/>
          <w:b w:val="0"/>
          <w:i w:val="0"/>
          <w:color w:val="000000"/>
          <w:sz w:val="16"/>
        </w:rPr>
        <w:t>Feature families include lagged modal share; behavioral cost and access signals; public-transport service, network, and capacity measures; travel time and congestion; fleet and infrastructure intensity; parking; and lagged macro-demographic descriptors.</w:t>
      </w:r>
    </w:p>
    <w:p w14:paraId="7B92535F" w14:textId="77777777" w:rsidR="0001009B" w:rsidRPr="00C93876" w:rsidRDefault="00000000" w:rsidP="003F51D2">
      <w:pPr>
        <w:keepNext w:val="0"/>
        <w:spacing w:after="40" w:line="240" w:lineRule="auto"/>
        <w:jc w:val="both"/>
        <w:rPr>
          <w:rFonts w:asciiTheme="majorBidi" w:hAnsiTheme="majorBidi" w:cstheme="majorBidi"/>
          <w:szCs w:val="16"/>
        </w:rPr>
      </w:pPr>
      <w:r>
        <w:rPr>
          <w:rFonts w:ascii="Times New Roman" w:hAnsi="Times New Roman" w:eastAsia="Times New Roman" w:cs="Times New Roman"/>
          <w:b w:val="0"/>
          <w:i w:val="0"/>
          <w:color w:val="000000"/>
          <w:sz w:val="16"/>
        </w:rPr>
        <w:t>Feature sets and hyperparameters remain fixed during validation and projection. A reduced-feature specification with 6–9 theory-selected predictors per model is used only as a parsimony sensitivity check; the comparison is reported in Table S8, Panel C.</w:t>
      </w:r>
    </w:p>
    <w:sectPr w:rsidR="0001009B" w:rsidRPr="00C93876">
      <w:pgSz w:w="16838" w:h="11906"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638342">
    <w:abstractNumId w:val="8"/>
  </w:num>
  <w:num w:numId="2" w16cid:durableId="1557425914">
    <w:abstractNumId w:val="6"/>
  </w:num>
  <w:num w:numId="3" w16cid:durableId="1694922437">
    <w:abstractNumId w:val="5"/>
  </w:num>
  <w:num w:numId="4" w16cid:durableId="523635113">
    <w:abstractNumId w:val="4"/>
  </w:num>
  <w:num w:numId="5" w16cid:durableId="81530452">
    <w:abstractNumId w:val="7"/>
  </w:num>
  <w:num w:numId="6" w16cid:durableId="1962111079">
    <w:abstractNumId w:val="3"/>
  </w:num>
  <w:num w:numId="7" w16cid:durableId="205408222">
    <w:abstractNumId w:val="2"/>
  </w:num>
  <w:num w:numId="8" w16cid:durableId="837116869">
    <w:abstractNumId w:val="1"/>
  </w:num>
  <w:num w:numId="9" w16cid:durableId="106182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09B"/>
    <w:rsid w:val="0001009B"/>
    <w:rsid w:val="003F51D2"/>
    <w:rsid w:val="006B12A0"/>
    <w:rsid w:val="00C938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5B1DC"/>
  <w14:defaultImageDpi w14:val="300"/>
  <w15:docId w15:val="{326B432F-D83F-4EA1-8DC2-C40F113B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ascii="Times New Roman" w:hAnsi="Times New Roman" w:eastAsia="Times New Roman" w:cs="Times New Roman"/>
        <w:sz w:val="16"/>
        <w:szCs w:val="1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color w:val="000000"/>
      <w:sz w:val="16"/>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1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452</Words>
  <Characters>2579</Characters>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2026-01-01T00:00:00Z</dcterms:created>
  <dcterms:modified xsi:type="dcterms:W3CDTF">2026-08-17T02:03:00Z</dcterms:modified>
  <cp:category/>
</cp:coreProperties>
</file>