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1274A" w14:textId="77777777" w:rsidR="008A5CD4" w:rsidRPr="00B868E0" w:rsidRDefault="00000000">
      <w:pPr>
        <w:keepNext/>
        <w:spacing w:after="80" w:line="240" w:lineRule="auto" w:before="0"/>
        <w:rPr>
          <w:rFonts w:asciiTheme="majorBidi" w:hAnsiTheme="majorBidi" w:cstheme="majorBidi"/>
          <w:sz w:val="16"/>
          <w:szCs w:val="16"/>
        </w:rPr>
      </w:pPr>
      <w:r w:rsidRPr="00B868E0">
        <w:rPr>
          <w:rFonts w:asciiTheme="majorBidi" w:eastAsia="Times New Roman" w:hAnsiTheme="majorBidi" w:cstheme="majorBidi" w:ascii="Times New Roman" w:hAnsi="Times New Roman" w:cs="Times New Roman"/>
          <w:b/>
          <w:i w:val="0"/>
          <w:color w:val="000000"/>
          <w:sz w:val="18"/>
          <w:szCs w:val="16"/>
        </w:rPr>
        <w:t>Table S6. Scenario overlays and operator schedules over 2024–2030</w:t>
      </w:r>
    </w:p>
    <w:p w14:paraId="1A0D3965" w14:textId="77777777" w:rsidR="008A5CD4" w:rsidRPr="00B868E0" w:rsidRDefault="00000000">
      <w:pPr>
        <w:keepNext w:val="0"/>
        <w:spacing w:after="60" w:line="240" w:lineRule="auto" w:before="0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Full, medium, light, and strong denote fixed package intensities rather than optimized values. Schedules are rounded for presentation; the simulations use the declared annual settings.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3054"/>
        <w:gridCol w:w="11634"/>
      </w:tblGrid>
      <w:tr w:rsidR="008A5CD4" w:rsidRPr="00B868E0" w14:paraId="1AE8D610" w14:textId="77777777" w:rsidTr="008A5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 w:val="true"/>
        </w:trPr>
        <w:tc>
          <w:tcPr>
            <w:tcW w:w="108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085FA6BF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Scenario</w:t>
            </w:r>
          </w:p>
        </w:tc>
        <w:tc>
          <w:tcPr>
            <w:tcW w:w="30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588C92B3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Primary operator channel</w:t>
            </w:r>
          </w:p>
        </w:tc>
        <w:tc>
          <w:tcPr>
            <w:tcW w:w="115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Policy schedule, 2024–2030</w:t>
            </w:r>
          </w:p>
        </w:tc>
      </w:tr>
      <w:tr w:rsidR="008A5CD4" w:rsidRPr="00B868E0" w14:paraId="64C73060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68D197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D3D8D62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Continuation baseline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D65C870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No additional policy overlay; all paths follow the continuation reference.</w:t>
            </w:r>
          </w:p>
        </w:tc>
      </w:tr>
      <w:tr w:rsidR="008A5CD4" w:rsidRPr="00B868E0" w14:paraId="491EDC22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97BBD9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00E6008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Activity moderation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876F76" w14:textId="77777777" w:rsidR="006F3497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Effective telework rate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ρ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tw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0; 2026–2027 = 0.08; 2028–2029 = 0.12; 2030 = 0.15. </w:t>
            </w:r>
          </w:p>
          <w:p w14:paraId="4286D179" w14:textId="12D654FF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Commute-management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commute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: 2024–2025 = 1; 2026–2027 = 1.12; 2028–2029 = 1.20; 2030 = 1.26.</w:t>
            </w:r>
          </w:p>
        </w:tc>
      </w:tr>
      <w:tr w:rsidR="008A5CD4" w:rsidRPr="00B868E0" w14:paraId="59CD48DD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EFEF46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2BB31FC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Managed core access pricing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2797D6C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Traffic-plan fee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fee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: 2024–2025 = 1; 2026–2027 = 1.15; 2028 = 1.25; 2029 = 1.30; 2030 = 1.35.</w:t>
            </w:r>
          </w:p>
        </w:tc>
      </w:tr>
      <w:tr w:rsidR="008A5CD4" w:rsidRPr="00B868E0" w14:paraId="70456042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3711BB4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SC3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40A4EE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Parking and curb management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C03FE73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Region 12 parking-supply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R12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park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: 2024–2025 = 1; 2026–2027 = 0.94; 2028–2029 = 0.88; 2030 = 0.82.</w:t>
            </w:r>
          </w:p>
        </w:tc>
      </w:tr>
      <w:tr w:rsidR="008A5CD4" w:rsidRPr="00B868E0" w14:paraId="50178FA9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8AC621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6DFA718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affordability support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10BDCAD" w14:textId="77777777" w:rsidR="006F3497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Bus fare-growth rate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g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fare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bus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2024–2027 = 0.24; 2028–2030 = 0.25. </w:t>
            </w:r>
          </w:p>
          <w:p w14:paraId="5D1A2C04" w14:textId="3DCBDDE1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Metro fare-growth rate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g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fare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metro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: 2024–2027 = 0.21; 2028–2030 = 0.22.</w:t>
            </w:r>
          </w:p>
        </w:tc>
      </w:tr>
      <w:tr w:rsidR="008A5CD4" w:rsidRPr="00B868E0" w14:paraId="3788C756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EF2A0D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SC5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C2CFE88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service, access, and reliability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6F2DE4" w14:textId="77777777" w:rsidR="00BF03B7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Bus free-flow speed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v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bus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free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40.0 km/h; 2026 = 42.0; 2027 = 43.5; 2028–2030 = 45.0. </w:t>
            </w:r>
          </w:p>
          <w:p w14:paraId="40B65E40" w14:textId="77777777" w:rsidR="00824D4A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Metro operating speed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v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metro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42.0 km/h; 2026 = 43.0; 2027 = 44.0; 2028–2030 = 45.0. </w:t>
            </w:r>
          </w:p>
          <w:p w14:paraId="052D57AA" w14:textId="66F42EDA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The service overlay also includes staged bus, BRT, and metro network and procurement support.</w:t>
            </w:r>
          </w:p>
        </w:tc>
      </w:tr>
      <w:tr w:rsidR="008A5CD4" w:rsidRPr="00B868E0" w14:paraId="7585D340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53F906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185194B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Local pollutant cleanup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F95CB7" w14:textId="77777777" w:rsidR="00AE736E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Motorcycle emission factors decline as follows:</w:t>
            </w:r>
          </w:p>
          <w:p w14:paraId="0E39A160" w14:textId="77777777" w:rsidR="00AE736E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m:oMath>
              <m:r>
                <w:rPr>
                  <w:rFonts w:ascii="Times New Roman" w:hAnsi="Times New Roman" w:cstheme="majorBidi"/>
                  <w:sz w:val="16"/>
                  <w:szCs w:val="16"/>
                </w:rPr>
                <m:t>E</m:t>
              </m:r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mot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PM2.5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0.03 in 2024, 0.021 in 2025–2027, 0.015 in 2028–2029, and 0.012 g/km in 2030;</w:t>
            </w:r>
          </w:p>
          <w:p w14:paraId="43DA7409" w14:textId="77777777" w:rsidR="00AE736E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m:oMath>
              <m:r>
                <w:rPr>
                  <w:rFonts w:ascii="Times New Roman" w:hAnsi="Times New Roman" w:cstheme="majorBidi"/>
                  <w:sz w:val="16"/>
                  <w:szCs w:val="16"/>
                </w:rPr>
                <m:t>E</m:t>
              </m:r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mot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NOx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0.40 in 2024, 0.32 in 2025–2027, 0.24 in 2028–2029, and 0.20 g/km in 2030;</w:t>
            </w:r>
          </w:p>
          <w:p w14:paraId="33AE1A52" w14:textId="77777777" w:rsidR="00AE736E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m:oMath>
              <m:r>
                <w:rPr>
                  <w:rFonts w:ascii="Times New Roman" w:hAnsi="Times New Roman" w:cstheme="majorBidi"/>
                  <w:sz w:val="16"/>
                  <w:szCs w:val="16"/>
                </w:rPr>
                <m:t>E</m:t>
              </m:r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mot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SO2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0.02 in 2024, 0.016 in 2025–2027, 0.012 in 2028–2029, and 0.01 g/km in 2030. </w:t>
            </w:r>
          </w:p>
          <w:p w14:paraId="75B237AC" w14:textId="77777777" w:rsidR="0008573B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Bus and taxi pollutant factors decline along the corresponding cleanup paths; </w:t>
            </w:r>
          </w:p>
          <w:p w14:paraId="7A284256" w14:textId="42814EA0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bus speed receives a limited operational co-benefit up to 41.4 km/h by 2030.</w:t>
            </w:r>
          </w:p>
        </w:tc>
      </w:tr>
      <w:tr w:rsidR="008A5CD4" w:rsidRPr="00B868E0" w14:paraId="721746AD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A0641C0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SC7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D153432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Clean-fleet transition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4BB59E" w14:textId="77777777" w:rsidR="004C41B8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Taxi EV share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taxi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EV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 = 0.04; 2025 = 0.06; 2026 = 0.12; 2027 = 0.16; 2028 = 0.28; 2029 = 0.36; 2030 = 0.44. </w:t>
            </w:r>
          </w:p>
          <w:p w14:paraId="41804D03" w14:textId="231C1483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Bus EV share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bus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EV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: 2024 = 0.10; 2025 = 0.12; 2026 = 0.16; 2027 = 0.20; 2028 = 0.26; 2029 = 0.32; 2030 = 0.40.</w:t>
            </w:r>
          </w:p>
        </w:tc>
      </w:tr>
      <w:tr w:rsidR="008A5CD4" w:rsidRPr="00B868E0" w14:paraId="697FA8B1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1FF4BD8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A0D4DA6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Balanced package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4A1CC8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Composition: SC1 full + SC3 light + SC4 full + SC6 medium. </w:t>
            </w:r>
          </w:p>
          <w:p w14:paraId="594BC498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Region 12 parking-supply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R12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park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1; 2026–2027 = 0.976; 2028–2029 = 0.952; 2030 = 0.928. </w:t>
            </w:r>
          </w:p>
          <w:p w14:paraId="08E0D495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Cleanup co-benefit for bus free-flow speed: 2024–2025 = 40.0 km/h; 2026 = 40.33; 2027 = 40.46; 2028 = 40.65; 2029 = 40.78; 2030 = 40.91. </w:t>
            </w:r>
          </w:p>
          <w:p w14:paraId="2B68AB48" w14:textId="4AC1D3A2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Fare-support paths follow SC4; local pollutant factors follow the medium cleanup path.</w:t>
            </w:r>
          </w:p>
        </w:tc>
      </w:tr>
      <w:tr w:rsidR="008A5CD4" w:rsidRPr="00B868E0" w14:paraId="59EFCF5D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1778FB3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SC9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2D0BA77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Access-led package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DBF7D6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Composition: SC2 full + SC3 light + SC4 medium + SC5 medium + SC6 light. The access-charge path follows SC2. </w:t>
            </w:r>
          </w:p>
          <w:p w14:paraId="504652B1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Region 12 parking-supply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R12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park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1; 2026–2027 = 0.979; 2028–2029 = 0.958; 2030 = 0.937. </w:t>
            </w:r>
          </w:p>
          <w:p w14:paraId="732F186A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Bus fare-growth rate: 2024–2027 = 0.281; 2028–2030 = 0.286. </w:t>
            </w:r>
          </w:p>
          <w:p w14:paraId="5BA78112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Metro fare-growth rate: 2024–2027 = 0.242; 2028–2030 = 0.247. </w:t>
            </w:r>
          </w:p>
          <w:p w14:paraId="1D8708B5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Bus free-flow speed: 2024–2025 = 39.34 km/h; 2026 = 40.54; 2027 = 41.44; 2028–2030 = 42.34. </w:t>
            </w:r>
          </w:p>
          <w:p w14:paraId="3B7BC4B5" w14:textId="77777777" w:rsidR="0001717C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Metro speed: 2024–2025 = 41.2 km/h; 2026 = 41.8; 2027 = 42.4; 2028–2030 = 43.0.</w:t>
            </w:r>
          </w:p>
          <w:p w14:paraId="5C8E4B68" w14:textId="163628CD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Pollutant factors follow the light cleanup path.</w:t>
            </w:r>
          </w:p>
        </w:tc>
      </w:tr>
      <w:tr w:rsidR="008A5CD4" w:rsidRPr="00B868E0" w14:paraId="58337BC2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F302EB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SC10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8C3CCF0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PT-first clean package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4EB2485" w14:textId="77777777" w:rsidR="007D2596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Composition: SC4 full + SC5 full + SC6 strong + SC7 medium + SC3 light. </w:t>
            </w:r>
          </w:p>
          <w:p w14:paraId="54075169" w14:textId="77777777" w:rsidR="007D2596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Region 12 parking-supply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R12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park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1; 2026–2027 = 0.985; 2028–2029 = 0.970; 2030 = 0.955. </w:t>
            </w:r>
          </w:p>
          <w:p w14:paraId="05B96722" w14:textId="77777777" w:rsidR="007D2596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SC4 fare support and SC5 service paths are used at full intensity. </w:t>
            </w:r>
          </w:p>
          <w:p w14:paraId="4B964961" w14:textId="77777777" w:rsidR="007D2596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Terminal cleanup values include </w:t>
            </w:r>
            <m:oMath>
              <m:r>
                <w:rPr>
                  <w:rFonts w:ascii="Times New Roman" w:hAnsi="Times New Roman" w:cstheme="majorBidi"/>
                  <w:sz w:val="16"/>
                  <w:szCs w:val="16"/>
                </w:rPr>
                <m:t>E</m:t>
              </m:r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mot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2030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PM2.5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theme="majorBidi"/>
                  <w:sz w:val="16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 w:val="16"/>
                  <w:szCs w:val="16"/>
                </w:rPr>
                <m:t>0.0156</m:t>
              </m:r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g/km, </w:t>
            </w:r>
            <m:oMath>
              <m:r>
                <w:rPr>
                  <w:rFonts w:ascii="Times New Roman" w:hAnsi="Times New Roman" w:cstheme="majorBidi"/>
                  <w:sz w:val="16"/>
                  <w:szCs w:val="16"/>
                </w:rPr>
                <m:t>E</m:t>
              </m:r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mot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2030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NOx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theme="majorBidi"/>
                  <w:sz w:val="16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 w:val="16"/>
                  <w:szCs w:val="16"/>
                </w:rPr>
                <m:t>0.24</m:t>
              </m:r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g/km, and </w:t>
            </w:r>
            <m:oMath>
              <m:r>
                <w:rPr>
                  <w:rFonts w:ascii="Times New Roman" w:hAnsi="Times New Roman" w:cstheme="majorBidi"/>
                  <w:sz w:val="16"/>
                  <w:szCs w:val="16"/>
                </w:rPr>
                <m:t>E</m:t>
              </m:r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mot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2030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SO2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theme="majorBidi"/>
                  <w:sz w:val="16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 w:val="16"/>
                  <w:szCs w:val="16"/>
                </w:rPr>
                <m:t>0.012</m:t>
              </m:r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g/km. </w:t>
            </w:r>
          </w:p>
          <w:p w14:paraId="5A99C550" w14:textId="34B62AD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Medium EV package intensity gives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taxi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EV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0.02, 0.026, 0.044, 0.056, 0.092, 0.116, 0.14 for 2024–2030 and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bus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EV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0.05, 0.056, 0.068, 0.08, 0.098, 0.116, 0.14 for 2024–2030.</w:t>
            </w:r>
          </w:p>
        </w:tc>
      </w:tr>
      <w:tr w:rsidR="008A5CD4" w:rsidRPr="00B868E0" w14:paraId="45F90412" w14:textId="77777777" w:rsidTr="008A5CD4">
        <w:trPr>
          <w:cantSplit/>
        </w:trPr>
        <w:tc>
          <w:tcPr>
            <w:tcW w:w="1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A1F9851" w14:textId="77777777" w:rsidR="008A5CD4" w:rsidRPr="00B868E0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SC11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9234945" w14:textId="77777777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Broad package</w:t>
            </w:r>
          </w:p>
        </w:tc>
        <w:tc>
          <w:tcPr>
            <w:tcW w:w="115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47D7ED1" w14:textId="77777777" w:rsidR="00256ED5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Composition: SC1 medium + SC2 medium + SC3 medium + SC5 full + SC6 medium + SC7 medium. </w:t>
            </w:r>
          </w:p>
          <w:p w14:paraId="4470FD0B" w14:textId="77777777" w:rsidR="00256ED5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Effective telework rate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ρ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tw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0; 2026–2027 = 0.052; 2028–2029 = 0.078; 2030 = 0.0975. </w:t>
            </w:r>
          </w:p>
          <w:p w14:paraId="00159391" w14:textId="77777777" w:rsidR="00256ED5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Traffic-plan fee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fee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1; 2026–2027 = 1.10; 2028 = 1.16; 2029 = 1.20; 2030 = 1.23. </w:t>
            </w:r>
          </w:p>
          <w:p w14:paraId="3CF8BB02" w14:textId="77777777" w:rsidR="00256ED5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Region 12 parking-supply multiplier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R12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park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: 2024–2025 = 1; 2026–2027 = 0.964; 2028–2029 = 0.928; 2030 = 0.892. </w:t>
            </w:r>
          </w:p>
          <w:p w14:paraId="6796DC7A" w14:textId="77777777" w:rsidR="00256ED5" w:rsidRPr="00B868E0" w:rsidRDefault="00000000">
            <w:pPr>
              <w:pStyle w:val="Compact"/>
              <w:spacing w:before="0"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rtl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PT service paths follow the full SC5 operator; cleanup and clean-fleet transition use medium package intensities. </w:t>
            </w:r>
          </w:p>
          <w:p w14:paraId="19BEC0D9" w14:textId="2D2B0CCD" w:rsidR="008A5CD4" w:rsidRPr="00B868E0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Medium EV package intensity gives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taxi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EV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0.02, 0.026, 0.044, 0.056, 0.092, 0.116, 0.14 for 2024–2030 and </w:t>
            </w:r>
            <m:oMath>
              <m:sSubSup>
                <m:sSubSupPr>
                  <m:ctrlPr>
                    <w:rPr>
                      <w:rFonts w:ascii="Times New Roman" w:hAnsi="Times New Roman" w:cstheme="majorBidi"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bus</m:t>
                  </m:r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 w:val="16"/>
                      <w:szCs w:val="16"/>
                    </w:rPr>
                    <m:t>,</m:t>
                  </m:r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t</m:t>
                  </m:r>
                </m:sub>
                <m:sup>
                  <m:r>
                    <w:rPr>
                      <w:rFonts w:ascii="Times New Roman" w:hAnsi="Times New Roman" w:cstheme="majorBidi"/>
                      <w:sz w:val="16"/>
                      <w:szCs w:val="16"/>
                    </w:rPr>
                    <m:t>EV</m:t>
                  </m:r>
                </m:sup>
              </m:sSubSup>
            </m:oMath>
            <w:r w:rsidRPr="00B868E0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= 0.05, 0.056, 0.068, 0.08, 0.098, 0.116, 0.14 for 2024–2030.</w:t>
            </w:r>
          </w:p>
        </w:tc>
      </w:tr>
    </w:tbl>
    <w:p w14:paraId="7D1E0C10" w14:textId="77777777" w:rsidR="00E25DBD" w:rsidRPr="00B868E0" w:rsidRDefault="00E25DBD">
      <w:pPr>
        <w:keepNext w:val="0"/>
        <w:spacing w:line="240" w:lineRule="auto" w:after="40"/>
        <w:rPr>
          <w:rFonts w:asciiTheme="majorBidi" w:hAnsiTheme="majorBidi" w:cstheme="majorBidi"/>
          <w:sz w:val="16"/>
          <w:szCs w:val="16"/>
        </w:rPr>
      </w:pPr>
    </w:p>
    <w:sectPr w:rsidR="00E25DBD" w:rsidRPr="00B868E0">
      <w:pgSz w:w="16838" w:h="11906" w:orient="landscape"/>
      <w:pgMar w:top="605" w:right="605" w:bottom="605" w:left="6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558AE" w14:textId="77777777" w:rsidR="005E0436" w:rsidRDefault="005E0436">
      <w:pPr>
        <w:spacing w:after="0"/>
      </w:pPr>
      <w:r>
        <w:separator/>
      </w:r>
    </w:p>
  </w:endnote>
  <w:endnote w:type="continuationSeparator" w:id="0">
    <w:p w14:paraId="18B86665" w14:textId="77777777" w:rsidR="005E0436" w:rsidRDefault="005E04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4C746" w14:textId="77777777" w:rsidR="005E0436" w:rsidRDefault="005E0436">
      <w:r>
        <w:separator/>
      </w:r>
    </w:p>
  </w:footnote>
  <w:footnote w:type="continuationSeparator" w:id="0">
    <w:p w14:paraId="0720FC89" w14:textId="77777777" w:rsidR="005E0436" w:rsidRDefault="005E0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1DA8D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0736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CD4"/>
    <w:rsid w:val="0001717C"/>
    <w:rsid w:val="0008573B"/>
    <w:rsid w:val="00256ED5"/>
    <w:rsid w:val="004C41B8"/>
    <w:rsid w:val="005E0436"/>
    <w:rsid w:val="006B12A0"/>
    <w:rsid w:val="006F3497"/>
    <w:rsid w:val="007D2596"/>
    <w:rsid w:val="00824D4A"/>
    <w:rsid w:val="008A5CD4"/>
    <w:rsid w:val="00AA17C0"/>
    <w:rsid w:val="00AE736E"/>
    <w:rsid w:val="00B868E0"/>
    <w:rsid w:val="00BF03B7"/>
    <w:rsid w:val="00E2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3ECD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755</Words>
  <Characters>4309</Characters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:description/>
  <dcterms:created xsi:type="dcterms:W3CDTF">2026-01-01T00:00:00Z</dcterms:created>
  <dcterms:modified xsi:type="dcterms:W3CDTF">2026-08-17T02:02:00Z</dcterms:modified>
</cp:coreProperties>
</file>