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1A3B" w14:textId="77777777" w:rsidR="001F7916" w:rsidRPr="00D739F5" w:rsidRDefault="00000000">
      <w:pPr>
        <w:keepNext/>
        <w:spacing w:after="8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8"/>
        </w:rPr>
        <w:t>Table S7. Decision architecture and implementation-screen identities</w:t>
      </w:r>
    </w:p>
    <w:p w14:paraId="019F5029" w14:textId="77777777" w:rsidR="001F7916" w:rsidRPr="00D739F5" w:rsidRDefault="00000000">
      <w:pPr>
        <w:keepNext w:val="0"/>
        <w:spacing w:after="6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This table supports Section 3.4. Outcome scoring and implementation feasibility remain separate throughout the analysis.</w:t>
      </w:r>
    </w:p>
    <w:p w14:paraId="57D2D8C9" w14:textId="77777777" w:rsidR="001F7916" w:rsidRPr="00D739F5" w:rsidRDefault="00000000">
      <w:pPr>
        <w:keepNext/>
        <w:spacing w:before="80" w:after="4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Core outcome-domain architecture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1965960"/>
        <w:gridCol w:w="2011680"/>
        <w:gridCol w:w="3246120"/>
        <w:gridCol w:w="2560320"/>
      </w:tblGrid>
      <w:tr w:rsidR="001F7916" w:rsidRPr="00D739F5" w14:paraId="7ED880D9" w14:textId="77777777" w:rsidTr="001F7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 w:val="true"/>
        </w:trPr>
        <w:tc>
          <w:tcPr>
            <w:tcW w:w="196596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ED37115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Domain</w:t>
            </w:r>
          </w:p>
        </w:tc>
        <w:tc>
          <w:tcPr>
            <w:tcW w:w="201168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0A624AC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Subfamily</w:t>
            </w:r>
          </w:p>
        </w:tc>
        <w:tc>
          <w:tcPr>
            <w:tcW w:w="32461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20D99F7F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Retained KPI</w:t>
            </w:r>
          </w:p>
        </w:tc>
        <w:tc>
          <w:tcPr>
            <w:tcW w:w="256032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35A6B70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Preferred direction</w:t>
            </w:r>
          </w:p>
        </w:tc>
      </w:tr>
      <w:tr w:rsidR="001F7916" w:rsidRPr="00D739F5" w14:paraId="0A415448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2D40AE1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Transportation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BB231EE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network burden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483BB512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74B0EF9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Transportation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8A1E80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mode shift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Higher</w:t>
            </w:r>
          </w:p>
        </w:tc>
      </w:tr>
      <w:tr w:rsidR="001F7916" w:rsidRPr="00D739F5" w14:paraId="452F19D3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59E4057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Transportation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3172A6A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private load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AC2F20E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PCE-weighted VKT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053CBA04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AFE9FA0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Environmental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53E8D2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climate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B9C458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CO₂ emissions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261B1C07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5B8EA6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Environmental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204EE59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local air: NOₓ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2389503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NOₓ emissions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5703FF91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90F051E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Environmental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44422A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local air: PM₂.₅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AB1F3F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PM₂.₅ emissions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69C2B4FC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F704FB7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Social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2AF0ADB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0403233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Health indicator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2BFC0F1C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DA6260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Social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A0DA56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affordability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88EFF37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affordability ratio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4107F06D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DC7DCF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Social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Livability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18FDF20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Noise exposure index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21EA1582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89F5F9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Economic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522DD1A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operating pressure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588FF97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OPEX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323D112D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C47DA7E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Economic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95EB70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recurrent public burden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761576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 recurrent public burden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  <w:tr w:rsidR="001F7916" w:rsidRPr="00D739F5" w14:paraId="1D14B20E" w14:textId="77777777" w:rsidTr="001F7916">
        <w:trPr>
          <w:cantSplit/>
        </w:trPr>
        <w:tc>
          <w:tcPr>
            <w:tcW w:w="196596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BC8A710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Economic</w:t>
            </w:r>
          </w:p>
        </w:tc>
        <w:tc>
          <w:tcPr>
            <w:tcW w:w="20116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BE081A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resource cost</w:t>
            </w:r>
          </w:p>
        </w:tc>
        <w:tc>
          <w:tcPr>
            <w:tcW w:w="32461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4498785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Energy cost</w:t>
            </w:r>
          </w:p>
        </w:tc>
        <w:tc>
          <w:tcPr>
            <w:tcW w:w="256032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Lower</w:t>
            </w:r>
          </w:p>
        </w:tc>
      </w:tr>
    </w:tbl>
    <w:p w14:paraId="3DFF8BD7" w14:textId="77777777" w:rsidR="001F7916" w:rsidRPr="00D739F5" w:rsidRDefault="00000000">
      <w:pPr>
        <w:keepNext w:val="0"/>
        <w:spacing w:after="4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  <w:t>Health indicator. Tehran uses the main exposure-response accounting. For Region 12, the retained health indicator is a comparative district proxy based on district emissions, concentration proxies, population, and the same response and valuation parameters; it is not a separate epidemiological model.</w:t>
      </w:r>
    </w:p>
    <w:p w14:paraId="0FA49F42" w14:textId="77777777" w:rsidR="001F7916" w:rsidRPr="00D739F5" w:rsidRDefault="00000000">
      <w:pPr>
        <w:keepNext/>
        <w:spacing w:before="80" w:after="4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Decision and implementation relations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20" w:firstRow="1" w:lastRow="0" w:firstColumn="0" w:lastColumn="0" w:noHBand="0" w:noVBand="0"/>
      </w:tblPr>
      <w:tblGrid>
        <w:gridCol w:w="320040"/>
        <w:gridCol w:w="1097280"/>
        <w:gridCol w:w="4069080"/>
        <w:gridCol w:w="4343400"/>
      </w:tblGrid>
      <w:tr w:rsidR="001F7916" w:rsidRPr="00D739F5" w14:paraId="2DEFC853" w14:textId="77777777" w:rsidTr="00E54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 w:val="true"/>
        </w:trPr>
        <w:tc>
          <w:tcPr>
            <w:tcW w:w="32004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397E6CE3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R ID</w:t>
            </w:r>
          </w:p>
        </w:tc>
        <w:tc>
          <w:tcPr>
            <w:tcW w:w="109728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42240600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Identity</w:t>
            </w:r>
          </w:p>
        </w:tc>
        <w:tc>
          <w:tcPr>
            <w:tcW w:w="406908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7B06F70D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Formal relation</w:t>
            </w:r>
          </w:p>
        </w:tc>
        <w:tc>
          <w:tcPr>
            <w:tcW w:w="4343400" w:type="dxa"/>
            <w:shd w:val="clear" w:color="auto" w:fill="E7E6E6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center"/>
          </w:tcPr>
          <w:p w14:paraId="5540B1BF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b/>
                <w:i w:val="0"/>
                <w:color w:val="000000"/>
                <w:sz w:val="16"/>
                <w:szCs w:val="16"/>
              </w:rPr>
              <w:t>Interpretive note</w:t>
            </w:r>
          </w:p>
        </w:tc>
      </w:tr>
      <w:tr w:rsidR="001F7916" w:rsidRPr="00D739F5" w14:paraId="5A846214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2E4ED1F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69975B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Baseline-relative deviation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E0306A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δ​</m:t>
                </m:r>
                <m:d>
                  <m:d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,SC0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100 </m:t>
                          </m:r>
                          <m:f>
                            <m:fPr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,SC0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,SC0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,SC0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&gt;</m:t>
                          </m:r>
                          <m:sSup>
                            <m:sSupPr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-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9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s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,SC0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,</m:t>
                          </m:r>
                        </m: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Times New Roman" w:hAnsi="Times New Roman" w:cstheme="majorBidi"/>
                                      <w:sz w:val="16"/>
                                      <w:szCs w:val="16"/>
                                    </w:rPr>
                                    <m:t>,SC0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≤</m:t>
                          </m:r>
                          <m:sSup>
                            <m:sSupPr>
                              <m:ctrl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-</m:t>
                              </m:r>
                              <m:r>
                                <w:rPr>
                                  <w:rFonts w:ascii="Times New Roman" w:hAnsi="Times New Roman" w:cstheme="majorBidi"/>
                                  <w:sz w:val="16"/>
                                  <w:szCs w:val="16"/>
                                </w:rPr>
                                <m:t>9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Times New Roman" w:hAnsi="Times New Roman" w:cstheme="majorBidi"/>
                              <w:sz w:val="16"/>
                              <w:szCs w:val="16"/>
                            </w:rPr>
                            <m:t>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7AE0862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Uses a percentage change when the SC0 denominator is non-zero and a signed level difference otherwise. Selected modal-share results are also reported as absolute percentage-point (pp) differences where useful.</w:t>
            </w:r>
          </w:p>
        </w:tc>
      </w:tr>
      <w:tr w:rsidR="001F7916" w:rsidRPr="00D739F5" w14:paraId="3F3262CC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3B3883D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R2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97E4003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Implementation-screen normalization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B6A813E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Z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impl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100 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impl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impl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max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'∈</m:t>
                        </m:r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pol</m:t>
                            </m:r>
                          </m:sub>
                        </m:sSub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sSubSupPr>
                          <m:e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r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'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impl</m:t>
                            </m:r>
                          </m:sup>
                        </m:sSubSup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 j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∈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impl</m:t>
                    </m:r>
                  </m:sub>
                </m:sSub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ECEC4E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Normalizes the oriented horizon-mean implementation difference across the non-baseline portfolio. If all differences are effectively zero, the contribution remains zero.</w:t>
            </w:r>
          </w:p>
        </w:tc>
      </w:tr>
      <w:tr w:rsidR="001F7916" w:rsidRPr="00D739F5" w14:paraId="793EA64A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050CB2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R3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BC4C14F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PT OPEX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38D9D4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PT,svc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PT</m:t>
                        </m:r>
                      </m:sub>
                    </m:sSub>
                  </m:sub>
                  <m:sup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PT,tot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O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PT,svc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+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PT,energy</m:t>
                    </m:r>
                  </m:sup>
                </m:sSubSup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E096398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Separates the retained PT service-OPEX KPI from total PT operating cost, which also includes PT energy cost for subsidy and farebox accounting.</w:t>
            </w:r>
          </w:p>
        </w:tc>
      </w:tr>
      <w:tr w:rsidR="001F7916" w:rsidRPr="00D739F5" w14:paraId="7144F893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37E709F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R4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4B37AD2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Subsidy need and farebox recovery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47BBC42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SUB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=max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​</m:t>
                </m:r>
                <m:d>
                  <m:d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PT,tot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Rev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fare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FRR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Rev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fare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PT,tot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9F1EE05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Reports recurrent subsidy need and farebox recovery as distinct implementation quantities.</w:t>
            </w:r>
          </w:p>
        </w:tc>
      </w:tr>
      <w:tr w:rsidR="001F7916" w:rsidRPr="00D739F5" w14:paraId="17D15EA7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E011988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R5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3D799C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 recurrent public burden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6F0B3F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ear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ρ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ear</m:t>
                    </m:r>
                  </m:sup>
                </m:sSup>
                <m:sSup>
                  <m:s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κ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col</m:t>
                    </m:r>
                  </m:sup>
                </m:sSup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reg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NRPB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SUB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-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REV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ear</m:t>
                    </m:r>
                  </m:sup>
                </m:sSubSup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F0F44DB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Earmarked regulatory revenue offsets recurrent public burden; it is not treated as a direct welfare gain.</w:t>
            </w:r>
          </w:p>
        </w:tc>
      </w:tr>
      <w:tr w:rsidR="001F7916" w:rsidRPr="00D739F5" w14:paraId="159B511D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628DF05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R6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9009F0D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 fiscal pressure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7E2A691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NFP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impl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+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Δ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NRPB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eff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1CD16F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Combines implementation CAPEX with the baseline-relative change in recurrent public burden and scales the result by the effective transport budget.</w:t>
            </w:r>
          </w:p>
        </w:tc>
      </w:tr>
      <w:tr w:rsidR="001F7916" w:rsidRPr="00D739F5" w14:paraId="5F3B603E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2838B73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R7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B8959F3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Budget use and PT budget pressure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F4C8856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BU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SUB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eff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PTBP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O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PT,tot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B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eff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6171989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Reports subsidy pressure and total PT operating pressure relative to the effective transport budget.</w:t>
            </w:r>
          </w:p>
        </w:tc>
      </w:tr>
      <w:tr w:rsidR="001F7916" w:rsidRPr="00D739F5" w14:paraId="3FAB07A0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3E806F4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lastRenderedPageBreak/>
              <w:t>R8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75F60F4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Net annual value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21177830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NAV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AEC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+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Δ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energy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-</m:t>
                </m:r>
                <m:sSubSup>
                  <m:sSub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Sup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C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impl</m:t>
                    </m:r>
                  </m:sup>
                </m:sSubSup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-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Δ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NRPB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C6A938B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Combines avoided external cost and baseline-relative energy-cost saving, net of implementation CAPEX and recurrent public-burden change.</w:t>
            </w:r>
          </w:p>
        </w:tc>
      </w:tr>
      <w:tr w:rsidR="001F7916" w:rsidRPr="00D739F5" w14:paraId="07C409BF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F504D95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R9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6BD1967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Domain score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7F84812C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d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-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1</m:t>
                    </m:r>
                  </m:sup>
                </m:sSup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∈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K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Z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,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s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 d</m:t>
                </m:r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∈D</m:t>
                </m:r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95C5F63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Averages normalized, oriented cumulative KPI effects within each outcome domain. A zero max-absolute effect produces a zero contribution.</w:t>
            </w:r>
          </w:p>
        </w:tc>
      </w:tr>
      <w:tr w:rsidR="001F7916" w:rsidRPr="00D739F5" w14:paraId="7E6B0CFC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06B6A162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R10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Weighted outcome score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3D217A82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Score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∈D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w</m:t>
                    </m:r>
                  </m:e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≥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,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 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naryPr>
                  <m:sub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∈D</m:t>
                    </m:r>
                  </m:sub>
                  <m:sup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r>
                  <w:rPr>
                    <w:rFonts w:ascii="Times New Roman" w:hAnsi="Times New Roman" w:cstheme="majorBidi"/>
                    <w:sz w:val="16"/>
                    <w:szCs w:val="16"/>
                  </w:rPr>
                  <m:t>1</m:t>
                </m:r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865A4AB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Combines the four domain scores using non-negative weights that sum to one; equal weights are the neutral reference.</w:t>
            </w:r>
          </w:p>
        </w:tc>
      </w:tr>
      <w:tr w:rsidR="001F7916" w:rsidRPr="00D739F5" w14:paraId="3C4DDE0F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BDE09B8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R11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Preference-weight set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50117EB7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W=</m:t>
                </m:r>
                <m:d>
                  <m:dPr>
                    <m:begChr m:val="{"/>
                    <m:endChr m:val="}"/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dPr>
                  <m:e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:</m:t>
                    </m:r>
                    <m:sSub>
                      <m:sSubPr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w</m:t>
                        </m:r>
                      </m:e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≥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0 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∀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d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∈D,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 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d</m:t>
                        </m:r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∈D</m:t>
                        </m:r>
                      </m:sub>
                      <m:sup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​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d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=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1</m:t>
                    </m:r>
                  </m:e>
                </m:d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A37087F" w14:textId="77777777" w:rsidR="001F7916" w:rsidRPr="00D739F5" w:rsidRDefault="00000000">
            <w:pPr>
              <w:pStyle w:val="Compact"/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Defines the feasible four-domain preference-weight simplex used in the ranking sensitivity analysis.</w:t>
            </w:r>
          </w:p>
        </w:tc>
      </w:tr>
      <w:tr w:rsidR="001F7916" w:rsidRPr="00D739F5" w14:paraId="5EAD9473" w14:textId="77777777" w:rsidTr="00E545E8">
        <w:trPr>
          <w:cantSplit/>
        </w:trPr>
        <w:tc>
          <w:tcPr>
            <w:tcW w:w="32004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124CAAD6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D739F5">
              <w:rPr>
                <w:rFonts w:asciiTheme="majorBidi" w:eastAsia="Times New Roman" w:hAnsiTheme="majorBidi" w:cstheme="majorBidi" w:ascii="Times New Roman" w:hAnsi="Times New Roman" w:cs="Times New Roman"/>
                <w:color w:val="000000"/>
                <w:sz w:val="16"/>
                <w:szCs w:val="16"/>
              </w:rPr>
              <w:t>R12</w:t>
            </w:r>
          </w:p>
        </w:tc>
        <w:tc>
          <w:tcPr>
            <w:tcW w:w="10972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Rank acceptability</w:t>
            </w:r>
          </w:p>
        </w:tc>
        <w:tc>
          <w:tcPr>
            <w:tcW w:w="406908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6E6F73D2" w14:textId="77777777" w:rsidR="001F7916" w:rsidRPr="00D739F5" w:rsidRDefault="00000000">
            <w:pPr>
              <w:pStyle w:val="Compact"/>
              <w:spacing w:before="0" w:after="0" w:line="240" w:lineRule="auto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RA</m:t>
                    </m:r>
                  </m:e>
                  <m:sub>
                    <m:r>
                      <m:rPr>
                        <m:scr m:val="script"/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l,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,</m:t>
                    </m:r>
                    <m: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theme="majorBidi"/>
                    <w:sz w:val="16"/>
                    <w:szCs w:val="16"/>
                  </w:rPr>
                  <m:t>=</m:t>
                </m:r>
                <m:f>
                  <m:fPr>
                    <m:ctrlPr>
                      <w:rPr>
                        <w:rFonts w:ascii="Times New Roman" w:hAnsi="Times New Roman" w:cstheme="majorBidi"/>
                        <w:sz w:val="16"/>
                        <w:szCs w:val="16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{</m:t>
                        </m:r>
                        <m: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w</m:t>
                        </m:r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∈W:</m:t>
                        </m:r>
                        <m:sSub>
                          <m:sSub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rank</m:t>
                            </m:r>
                          </m:e>
                          <m:sub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r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,</m:t>
                            </m:r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s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Times New Roman" w:hAnsi="Times New Roman" w:cstheme="majorBidi"/>
                                <w:sz w:val="16"/>
                                <w:szCs w:val="16"/>
                              </w:rPr>
                              <m:t>w</m:t>
                            </m:r>
                          </m:e>
                        </m:d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=l}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Times New Roman" w:hAnsi="Times New Roman" w:cstheme="majorBidi"/>
                            <w:sz w:val="16"/>
                            <w:szCs w:val="16"/>
                          </w:rPr>
                          <m:t>W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4343400" w:type="dxa"/>
            <w:shd w:val="clear" w:color="auto" w:fill="FFFFFF"/>
            <w:tcMar>
              <w:top w:w="40" w:type="dxa"/>
              <w:left w:w="65" w:type="dxa"/>
              <w:bottom w:w="40" w:type="dxa"/>
              <w:right w:w="65" w:type="dxa"/>
              <w:start w:w="45" w:type="dxa"/>
              <w:end w:w="45" w:type="dxa"/>
            </w:tcMar>
            <w:vAlign w:val="top"/>
          </w:tcPr>
          <w:p w14:paraId="44BB40B1" w14:textId="77777777" w:rsidR="001F7916" w:rsidRPr="00D739F5" w:rsidRDefault="00000000">
            <w:pPr>
              <w:spacing w:before="0" w:after="0" w:line="240" w:lineRule="auto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Measures the share of sampled preference weights under which a scenario attains rank ℓ, with ℓ = 1 denoting the highest score.</w:t>
            </w:r>
          </w:p>
        </w:tc>
      </w:tr>
    </w:tbl>
    <w:p w14:paraId="5EF6B389" w14:textId="77777777" w:rsidR="00503FF0" w:rsidRPr="00D739F5" w:rsidRDefault="00503FF0">
      <w:pPr>
        <w:keepNext w:val="0"/>
        <w:spacing w:line="240" w:lineRule="auto" w:after="40"/>
        <w:rPr>
          <w:rFonts w:asciiTheme="majorBidi" w:hAnsiTheme="majorBidi" w:cstheme="majorBidi"/>
          <w:sz w:val="16"/>
          <w:szCs w:val="16"/>
        </w:rPr>
      </w:pPr>
    </w:p>
    <w:sectPr w:rsidR="00503FF0" w:rsidRPr="00D739F5">
      <w:pgSz w:w="16838" w:h="11906" w:orient="landscape"/>
      <w:pgMar w:top="605" w:right="605" w:bottom="605" w:left="60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C93EA" w14:textId="77777777" w:rsidR="00503FF0" w:rsidRDefault="00503FF0">
      <w:pPr>
        <w:spacing w:after="0"/>
      </w:pPr>
      <w:r>
        <w:separator/>
      </w:r>
    </w:p>
  </w:endnote>
  <w:endnote w:type="continuationSeparator" w:id="0">
    <w:p w14:paraId="7593A8CF" w14:textId="77777777" w:rsidR="00503FF0" w:rsidRDefault="00503F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4CC05" w14:textId="77777777" w:rsidR="00503FF0" w:rsidRDefault="00503FF0">
      <w:r>
        <w:separator/>
      </w:r>
    </w:p>
  </w:footnote>
  <w:footnote w:type="continuationSeparator" w:id="0">
    <w:p w14:paraId="71F39F75" w14:textId="77777777" w:rsidR="00503FF0" w:rsidRDefault="00503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C0EB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0989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916"/>
    <w:rsid w:val="001F7916"/>
    <w:rsid w:val="00503FF0"/>
    <w:rsid w:val="006B12A0"/>
    <w:rsid w:val="00A76A77"/>
    <w:rsid w:val="00B845C4"/>
    <w:rsid w:val="00D739F5"/>
    <w:rsid w:val="00E5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15A4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color w:val="000000"/>
      <w:sz w:val="1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822</Words>
  <Characters>4687</Characters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description/>
  <dcterms:created xsi:type="dcterms:W3CDTF">2026-01-01T00:00:00Z</dcterms:created>
  <dcterms:modified xsi:type="dcterms:W3CDTF">2026-08-17T02:02:00Z</dcterms:modified>
</cp:coreProperties>
</file>