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8"/>
        </w:rPr>
        <w:t>Table S8. Validation, uncertainty propagation, mechanism sensitivity, and structural stress tests</w:t>
      </w:r>
    </w:p>
    <w:p>
      <w:pPr>
        <w:keepNext w:val="0"/>
        <w:spacing w:line="240" w:lineRule="auto" w:after="40"/>
        <w:jc w:val="center"/>
      </w:pPr>
      <w:r>
        <w:rPr>
          <w:rFonts w:ascii="Times New Roman" w:hAnsi="Times New Roman" w:eastAsia="Times New Roman" w:cs="Times New Roman"/>
          <w:color w:val="000000"/>
          <w:sz w:val="16"/>
        </w:rPr>
      </w:r>
    </w:p>
    <w:p>
      <w:pPr>
        <w:keepNext w:val="0"/>
        <w:spacing w:before="0" w:after="6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This table reports temporal validation, ML-error propagation, mechanism sensitivity, and scenario stress tests. Perturbation ranges are envelopes, not confidence intervals.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A. Compact execution and agent-role check</w:t>
      </w:r>
    </w:p>
    <w:p>
      <w:pPr>
        <w:keepNext w:val="0"/>
        <w:spacing w:after="40" w:line="240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752"/>
        <w:gridCol w:w="4752"/>
        <w:gridCol w:w="4752"/>
      </w:tblGrid>
      <w:tr>
        <w:trPr>
          <w:tblHeader w:val="true"/>
          <w:cantSplit w:val="true"/>
        </w:trPr>
        <w:tc>
          <w:tcPr>
            <w:tcW w:type="dxa" w:w="5208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Check</w:t>
            </w:r>
          </w:p>
        </w:tc>
        <w:tc>
          <w:tcPr>
            <w:tcW w:type="dxa" w:w="5208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Value</w:t>
            </w:r>
          </w:p>
        </w:tc>
        <w:tc>
          <w:tcPr>
            <w:tcW w:type="dxa" w:w="5208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Evidence</w:t>
            </w:r>
          </w:p>
        </w:tc>
      </w:tr>
      <w:tr>
        <w:trPr>
          <w:cantSplit w:val="true"/>
        </w:trPr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Total computational agents</w:t>
            </w:r>
          </w:p>
        </w:tc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706</w:t>
            </w:r>
          </w:p>
        </w:tc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Retained model specification</w:t>
            </w:r>
          </w:p>
        </w:tc>
      </w:tr>
      <w:tr>
        <w:trPr>
          <w:cantSplit w:val="true"/>
        </w:trPr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Input agents</w:t>
            </w:r>
          </w:p>
        </w:tc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237</w:t>
            </w:r>
          </w:p>
        </w:tc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Agent-role classification</w:t>
            </w:r>
          </w:p>
        </w:tc>
      </w:tr>
      <w:tr>
        <w:trPr>
          <w:cantSplit w:val="true"/>
        </w:trPr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SD-role agents</w:t>
            </w:r>
          </w:p>
        </w:tc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400</w:t>
            </w:r>
          </w:p>
        </w:tc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Agent-role classification</w:t>
            </w:r>
          </w:p>
        </w:tc>
      </w:tr>
      <w:tr>
        <w:trPr>
          <w:cantSplit w:val="true"/>
        </w:trPr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ABM mediation agents</w:t>
            </w:r>
          </w:p>
        </w:tc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57</w:t>
            </w:r>
          </w:p>
        </w:tc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Agent-role classification</w:t>
            </w:r>
          </w:p>
        </w:tc>
      </w:tr>
      <w:tr>
        <w:trPr>
          <w:cantSplit w:val="true"/>
        </w:trPr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ML modal-prior agents</w:t>
            </w:r>
          </w:p>
        </w:tc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Agent-role classification</w:t>
            </w:r>
          </w:p>
        </w:tc>
      </w:tr>
      <w:tr>
        <w:trPr>
          <w:cantSplit w:val="true"/>
        </w:trPr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Within-year execution graph</w:t>
            </w:r>
          </w:p>
        </w:tc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Acyclic</w:t>
            </w:r>
          </w:p>
        </w:tc>
        <w:tc>
          <w:tcPr>
            <w:tcW w:type="dxa" w:w="5208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Explicit lags and stocks separate annual dependencies</w:t>
            </w:r>
          </w:p>
        </w:tc>
      </w:tr>
    </w:tbl>
    <w:p>
      <w:pPr>
        <w:keepNext w:val="0"/>
        <w:spacing w:after="40" w:line="240" w:lineRule="auto"/>
      </w:pPr>
    </w:p>
    <w:p>
      <w:pPr>
        <w:keepNext w:val="0"/>
        <w:spacing w:after="6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Explicit lags and stock separation keep the reported within-year graph acyclic, so each annual state is evaluated once in dependency order. Delayed variables are updated only after state commitment.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B. Pooled hindcast and terminal holdout validation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Window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Geography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R²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MAE (pp)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RMSE (pp)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Full hindcast, 2012–2023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0.994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0.644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1.226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Full hindcast, 2012–2023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0.947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1.148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1.614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Training window, 2012–2021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0.981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1.115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2.162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Training window, 2012–2021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0.929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1.330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1.863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Terminal holdout, 2022–2023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0.984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1.570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2.318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Terminal holdout, 2022–2023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0.694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2.757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3.929</w:t>
            </w:r>
          </w:p>
        </w:tc>
      </w:tr>
    </w:tbl>
    <w:p>
      <w:pPr>
        <w:keepNext w:val="0"/>
        <w:spacing w:after="40" w:line="240" w:lineRule="auto"/>
      </w:pPr>
    </w:p>
    <w:p>
      <w:pPr>
        <w:keepNext w:val="0"/>
        <w:spacing w:after="6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The terminal holdout provides only two unseen observations per mode. Pooled metrics are therefore primary; Region 12 results are interpreted mainly by direction, ordering, and mechanism consistency.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C. Rolling-origin validation and feature-parsimony check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Feature set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Geography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Window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N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R²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MAE (pp)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RMSE (pp)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Reference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Non-COVID rolling origin, 2019–2023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0.804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2.169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3.103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Reference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Terminal years, 2022–2023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0.770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2.363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3.407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Reference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Non-COVID rolling origin, 2019–2023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0.980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1.688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2.655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Reference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Terminal years, 2022–2023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0.990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1.227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1.885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Reduced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Non-COVID rolling origin, 2019–2023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0.825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1.954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2.928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Reduced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Terminal years, 2022–2023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0.777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2.429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3.355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Reduced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Non-COVID rolling origin, 2019–2023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0.991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1.167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1.817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Reduced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Terminal years, 2022–2023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0.992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1.112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1.710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Reference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Pooled both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Non-COVID rolling origin, 2019–2023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0.958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1.929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2.888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Reference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Pooled both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Terminal years, 2022–2023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0.962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1.795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2.753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Reduced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Pooled both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Non-COVID rolling origin, 2019–2023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0.970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1.560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2.436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Reduced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Pooled both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Terminal years, 2022–2023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0.964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1.770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2.663</w:t>
            </w:r>
          </w:p>
        </w:tc>
      </w:tr>
    </w:tbl>
    <w:p>
      <w:pPr>
        <w:keepNext w:val="0"/>
        <w:spacing w:after="40" w:line="240" w:lineRule="auto"/>
      </w:pPr>
    </w:p>
    <w:p>
      <w:pPr>
        <w:keepNext w:val="0"/>
        <w:spacing w:after="6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The reduced specification retains 6–9 theory-selected predictors per modal-prior model and is used only as a parsimony sensitivity check.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D. Parametric propagation of ML modal-prior error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Scenario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Geography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Headline metrics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Direction-stable metrics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Minimum same-direction rate (%)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Median 90% span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Maximum 90% span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0.3532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1.6374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0.1003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0.3019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84.38%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0.1856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0.4845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0.1404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0.6663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SC3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68.75%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0.0298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0.0782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SC3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0.0881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0.5252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SC4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0.6160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1.7893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SC4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0.6160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1.4895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SC5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1.5764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11.2878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SC5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0.6299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2.5858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SC6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2.0172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15.8961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SC6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0.9045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3.5911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SC7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0.2383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12.0377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SC7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0.3592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5.1088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2.2175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17.9025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1.9972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2.9890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SC9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1.8569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12.7299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SC9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1.2181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2.8266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SC10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2.0968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13.0899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SC10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1.9364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4.2081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1.9753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13.9234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1.8615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3.5182</w:t>
            </w:r>
          </w:p>
        </w:tc>
      </w:tr>
    </w:tbl>
    <w:p>
      <w:pPr>
        <w:keepNext w:val="0"/>
        <w:spacing w:after="40" w:line="240" w:lineRule="auto"/>
      </w:pPr>
    </w:p>
    <w:p>
      <w:pPr>
        <w:keepNext w:val="0"/>
        <w:spacing w:after="6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Modal-prior error is perturbed on the logit scale using 32 draws calibrated to rolling-origin residuals; each policy run is compared with the correspondingly perturbed SC0. Of 242 headline comparisons, 240 retain direction in every draw. Only the near-zero Tehran PM₂.₅ effects of SC2 and SC3 are sign-ambiguous.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E. Propagation to selected endogenous SD stocks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Scenario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2030 stock effect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Perturbation draws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Median (%)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P05 (%)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P95 (%)</w:t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Direction preserved (%)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BRT fleet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6.055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6.055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6.055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Bus fleet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7.785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7.785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7.785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BRT network length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network length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5.000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5.000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5.000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car fleet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City population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0.082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0.073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0.090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Cumulative transport financial balance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-22.476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-28.601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-16.624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SC11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BRT fleet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6.055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6.055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6.055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SC11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Bus fleet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7.785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7.785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7.785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SC11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BRT network length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SC11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network length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5.000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5.000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5.000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SC11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car fleet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SC11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City population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0.086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0.079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0.095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SC11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Cumulative transport financial balance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-20.392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-26.317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-14.382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BRT fleet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6.055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6.055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6.055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Bus fleet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7.785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7.785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7.785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BRT network length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network length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5.000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5.000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5.000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car fleet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0.285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City population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0.045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0.040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0.049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Cumulative transport financial balance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-14.971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-18.926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-10.829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SC8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BRT fleet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SC8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Bus fleet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SC8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BRT network length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SC8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network length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SC8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Metro car fleet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SC8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City population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0.087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0.079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0.096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SC8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Cumulative transport financial balance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-18.619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-24.086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-12.842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</w:tbl>
    <w:p>
      <w:pPr>
        <w:keepNext w:val="0"/>
        <w:spacing w:after="40" w:line="240" w:lineRule="auto"/>
      </w:pPr>
    </w:p>
    <w:p>
      <w:pPr>
        <w:keepNext w:val="0"/>
        <w:spacing w:after="6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Scenario-set infrastructure and fleet quantities are invariant to modal-prior perturbations by construction; endogenous stocks can inherit propagated uncertainty.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F. SC5 service-response and energy-accounting sensitivity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rPr>
          <w:tblHeader w:val="true"/>
          <w:cantSplit w:val="true"/>
        </w:trPr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Speed-response multiplier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Speed-response coefficient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Geography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Metric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Mean 2024–2030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2030 value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</w:p>
        </w:tc>
        <w:tc>
          <w:tcPr>
            <w:tcW w:type="dxa" w:w="2232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Δ vs SC0 (%)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0.161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0.168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31.581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time loss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8.086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8.281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-11.271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PCE-weighted VKT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6.846 × 10¹⁰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6.999 × 10¹⁰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-4.258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CO₂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1.621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1.65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-4.372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PM₂.₅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1,119.969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1,147.901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-2.853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0.364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0.361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4.802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time loss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5.825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5.993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-8.030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PCE-weighted VKT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9.835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1.009 × 10⁹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-1.581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CO₂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2.279 × 10⁵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2.317 × 10⁵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-0.677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PM₂.₅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28.422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29.212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-2.175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0.162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0.170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32.436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time loss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8.068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8.249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-11.468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PCE-weighted VKT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6.84 × 10¹⁰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6.988 × 10¹⁰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-4.350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CO₂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1.62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1.648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-4.434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PM₂.₅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1,119.511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1,146.972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-2.892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0.365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0.363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5.252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time loss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5.802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5.956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-8.393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PCE-weighted VKT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9.815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1.006 × 10⁹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-1.784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CO₂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2.277 × 10⁵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2.313 × 10⁵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-0.758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PM₂.₅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28.389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29.158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-2.290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0.300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0.163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0.171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33.296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0.300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time loss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8.05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8.217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-11.666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0.300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PCE-weighted VKT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6.833 × 10¹⁰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6.976 × 10¹⁰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-4.442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0.300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CO₂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1.618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1.645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-4.498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0.300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PM₂.₅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1,119.050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1,146.035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-2.932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0.300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0.367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0.366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5.703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0.300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time loss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5.779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5.919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-8.757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0.300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PCE-weighted VKT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9.795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1.003 × 10⁹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-1.988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0.300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CO₂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2.275 × 10⁵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2.309 × 10⁵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-0.839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0.300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PM₂.₅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28.355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29.103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-2.405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0.164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0.173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34.162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time loss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8.032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8.185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-11.864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PCE-weighted VKT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6.827 × 10¹⁰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6.965 × 10¹⁰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-4.535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CO₂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1.617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1.643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-4.561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PM₂.₅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1,118.586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1,145.092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-2.972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0.368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0.368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6.155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time loss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5.756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5.882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-9.121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PCE-weighted VKT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9.774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9.992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-2.193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CO₂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2.273 × 10⁵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2.306 × 10⁵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-0.921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0.375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PM₂.₅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28.322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29.049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-2.520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0.450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0.165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0.174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35.032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0.450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time loss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8.014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8.153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-12.063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0.450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PCE-weighted VKT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6.82 × 10¹⁰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6.953 × 10¹⁰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-4.629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0.450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CO₂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1.616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1.641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-4.625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0.450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PM₂.₅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1,118.120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1,144.141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-3.013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0.450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0.370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0.370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6.611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0.450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time loss</w:t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5.733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5.844 × 10⁷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-9.487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0.450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PCE-weighted VKT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9.754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9.958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-2.398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0.450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CO₂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2.271 × 10⁵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2.301 × 10⁵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-1.003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1.5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0.450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PM₂.₅ emissions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28.288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28.993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2232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-2.636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</w:tr>
    </w:tbl>
    <w:p>
      <w:pPr>
        <w:keepNext w:val="0"/>
        <w:spacing w:after="40" w:line="240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564"/>
        <w:gridCol w:w="3564"/>
        <w:gridCol w:w="3564"/>
        <w:gridCol w:w="3564"/>
      </w:tblGrid>
      <w:tr>
        <w:trPr>
          <w:tblHeader w:val="true"/>
          <w:cantSplit w:val="true"/>
        </w:trPr>
        <w:tc>
          <w:tcPr>
            <w:tcW w:type="dxa" w:w="3906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Assumed non-diesel / zero-tailpipe share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</w:p>
        </w:tc>
        <w:tc>
          <w:tcPr>
            <w:tcW w:type="dxa" w:w="3906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SC0 diesel energy (MJ/year)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</w:p>
        </w:tc>
        <w:tc>
          <w:tcPr>
            <w:tcW w:type="dxa" w:w="3906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SC5 diesel energy (MJ/year)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</w:p>
        </w:tc>
        <w:tc>
          <w:tcPr>
            <w:tcW w:type="dxa" w:w="3906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SC5 vs SC0 (%)</w:t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</w:p>
        </w:tc>
      </w:tr>
      <w:tr>
        <w:trPr>
          <w:cantSplit w:val="true"/>
        </w:trPr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</w:t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1.103 × 10⁹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1.779 × 10⁹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61.192</w:t>
            </w:r>
          </w:p>
        </w:tc>
      </w:tr>
      <w:tr>
        <w:trPr>
          <w:cantSplit w:val="true"/>
        </w:trPr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0.100</w:t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9.931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1.601 × 10⁹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61.192</w:t>
            </w:r>
          </w:p>
        </w:tc>
      </w:tr>
      <w:tr>
        <w:trPr>
          <w:cantSplit w:val="true"/>
        </w:trPr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0.200</w:t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8.827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1.423 × 10⁹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61.192</w:t>
            </w:r>
          </w:p>
        </w:tc>
      </w:tr>
      <w:tr>
        <w:trPr>
          <w:cantSplit w:val="true"/>
        </w:trPr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0.300</w:t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7.724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1.245 × 10⁹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61.192</w:t>
            </w:r>
          </w:p>
        </w:tc>
      </w:tr>
      <w:tr>
        <w:trPr>
          <w:cantSplit w:val="true"/>
        </w:trPr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0.400</w:t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6.62 × 10⁸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1.067 × 10⁹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3906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61.192</w:t>
            </w:r>
          </w:p>
        </w:tc>
      </w:tr>
    </w:tbl>
    <w:p>
      <w:pPr>
        <w:keepNext w:val="0"/>
        <w:spacing w:after="40" w:line="240" w:lineRule="auto"/>
      </w:pPr>
    </w:p>
    <w:p>
      <w:pPr>
        <w:keepNext w:val="0"/>
        <w:spacing w:after="6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The +33.30% PT-share effect is relative to SC0 and corresponds to about +4.07 percentage points. The +61.19% diesel-energy effect reflects higher bus VKT under a fixed carrier mix and energy intensity; total final energy and CO₂ still decline.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G. SC6 Region 12 PM₂.₅ decomposition and emission-factor scaling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Component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SC0 mean (t/y)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SC6 mean (t/y)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Absolute change (t/y)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Relative change (%)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Share of reduction (%)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car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7.191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7.143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-0.048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-0.670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0.790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bus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1.460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1.275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-0.184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-12.637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3.026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taxi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1.626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1.389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-0.237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-14.594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3.893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motorcycle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15.168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9.575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-5.593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-36.874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91.767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grid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3.609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3.577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-0.032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-0.884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0.523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total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29.054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22.959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-6.095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-20.978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100</w:t>
            </w:r>
          </w:p>
        </w:tc>
      </w:tr>
    </w:tbl>
    <w:p>
      <w:pPr>
        <w:keepNext w:val="0"/>
        <w:spacing w:after="40" w:line="240" w:lineRule="auto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  <w:cantSplit w:val="true"/>
        </w:trPr>
        <w:tc>
          <w:tcPr>
            <w:tcW w:type="dxa" w:w="3125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District mobile emission-factor multiplier</w:t>
            </w:r>
          </w:p>
        </w:tc>
        <w:tc>
          <w:tcPr>
            <w:tcW w:type="dxa" w:w="3125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SC0 mean (t/y)</w:t>
            </w:r>
          </w:p>
        </w:tc>
        <w:tc>
          <w:tcPr>
            <w:tcW w:type="dxa" w:w="3125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SC6 mean (t/y)</w:t>
            </w:r>
          </w:p>
        </w:tc>
        <w:tc>
          <w:tcPr>
            <w:tcW w:type="dxa" w:w="3125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Δh (%)</w:t>
            </w:r>
          </w:p>
        </w:tc>
        <w:tc>
          <w:tcPr>
            <w:tcW w:type="dxa" w:w="3125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Δe (%)</w:t>
            </w:r>
          </w:p>
        </w:tc>
      </w:tr>
      <w:tr>
        <w:trPr>
          <w:cantSplit w:val="true"/>
        </w:trPr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0.500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16.331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13.268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-18.758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-31.558</w:t>
            </w:r>
          </w:p>
        </w:tc>
      </w:tr>
      <w:tr>
        <w:trPr>
          <w:cantSplit w:val="true"/>
        </w:trPr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0.750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22.693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18.113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-20.179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-33.965</w:t>
            </w:r>
          </w:p>
        </w:tc>
      </w:tr>
      <w:tr>
        <w:trPr>
          <w:cantSplit w:val="true"/>
        </w:trPr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29.054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22.959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-20.978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-35.316</w:t>
            </w:r>
          </w:p>
        </w:tc>
      </w:tr>
      <w:tr>
        <w:trPr>
          <w:cantSplit w:val="true"/>
        </w:trPr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1.250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35.415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27.805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-21.490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-36.182</w:t>
            </w:r>
          </w:p>
        </w:tc>
      </w:tr>
      <w:tr>
        <w:trPr>
          <w:cantSplit w:val="true"/>
        </w:trPr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1.500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41.777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32.650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-21.846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-36.783</w:t>
            </w:r>
          </w:p>
        </w:tc>
      </w:tr>
    </w:tbl>
    <w:p>
      <w:pPr>
        <w:keepNext w:val="0"/>
        <w:spacing w:after="40" w:line="240" w:lineRule="auto"/>
      </w:pPr>
    </w:p>
    <w:p>
      <w:pPr>
        <w:keepNext w:val="0"/>
        <w:spacing w:after="6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Region 12 PM₂.₅ is calculated from district modal VKT, technology shares, and emission factors rather than by scaling Tehran emissions. Motorcycles account for about 91.8% of the mean reduction.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H. Exogenous-driver stress and decision robustness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82"/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 w:val="true"/>
          <w:cantSplit w:val="true"/>
        </w:trPr>
        <w:tc>
          <w:tcPr>
            <w:tcW w:type="dxa" w:w="1953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Stress path</w:t>
            </w:r>
          </w:p>
        </w:tc>
        <w:tc>
          <w:tcPr>
            <w:tcW w:type="dxa" w:w="1953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Geography</w:t>
            </w:r>
          </w:p>
        </w:tc>
        <w:tc>
          <w:tcPr>
            <w:tcW w:type="dxa" w:w="1953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Equal-weight leader</w:t>
            </w:r>
          </w:p>
        </w:tc>
        <w:tc>
          <w:tcPr>
            <w:tcW w:type="dxa" w:w="1953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Leader score</w:t>
            </w:r>
          </w:p>
        </w:tc>
        <w:tc>
          <w:tcPr>
            <w:tcW w:type="dxa" w:w="1953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Runner-up</w:t>
            </w:r>
          </w:p>
        </w:tc>
        <w:tc>
          <w:tcPr>
            <w:tcW w:type="dxa" w:w="1953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Runner-up score</w:t>
            </w:r>
          </w:p>
        </w:tc>
        <w:tc>
          <w:tcPr>
            <w:tcW w:type="dxa" w:w="1953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Most frequent top-ranked scenario</w:t>
            </w:r>
          </w:p>
        </w:tc>
        <w:tc>
          <w:tcPr>
            <w:tcW w:type="dxa" w:w="1953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Top-rank share among sampled weights (%)</w:t>
            </w:r>
          </w:p>
        </w:tc>
      </w:tr>
      <w:tr>
        <w:trPr>
          <w:cantSplit w:val="true"/>
        </w:trPr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Central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Region 12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52.35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45.09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59.96</w:t>
            </w:r>
          </w:p>
        </w:tc>
      </w:tr>
      <w:tr>
        <w:trPr>
          <w:cantSplit w:val="true"/>
        </w:trPr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Central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55.50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SC11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47.60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93.39</w:t>
            </w:r>
          </w:p>
        </w:tc>
      </w:tr>
      <w:tr>
        <w:trPr>
          <w:cantSplit w:val="true"/>
        </w:trPr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Fiscal adverse, +20% by 2030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Region 12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52.12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SC10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45.08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59.64</w:t>
            </w:r>
          </w:p>
        </w:tc>
      </w:tr>
      <w:tr>
        <w:trPr>
          <w:cantSplit w:val="true"/>
        </w:trPr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Fiscal adverse, +20% by 2030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55.36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SC11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47.57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93.16</w:t>
            </w:r>
          </w:p>
        </w:tc>
      </w:tr>
      <w:tr>
        <w:trPr>
          <w:cantSplit w:val="true"/>
        </w:trPr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Fiscal favorable, −20% by 2030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Region 12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52.64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SC10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45.10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60.84</w:t>
            </w:r>
          </w:p>
        </w:tc>
      </w:tr>
      <w:tr>
        <w:trPr>
          <w:cantSplit w:val="true"/>
        </w:trPr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Fiscal favorable, −20% by 2030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55.70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SC11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47.63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93.66</w:t>
            </w:r>
          </w:p>
        </w:tc>
      </w:tr>
      <w:tr>
        <w:trPr>
          <w:cantSplit w:val="true"/>
        </w:trPr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High demand, +10% by 2030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Region 12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52.30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SC10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45.08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60.13</w:t>
            </w:r>
          </w:p>
        </w:tc>
      </w:tr>
      <w:tr>
        <w:trPr>
          <w:cantSplit w:val="true"/>
        </w:trPr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High demand, +10% by 2030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55.55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SC11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47.59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93.40</w:t>
            </w:r>
          </w:p>
        </w:tc>
      </w:tr>
      <w:tr>
        <w:trPr>
          <w:cantSplit w:val="true"/>
        </w:trPr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Low demand, −10% by 2030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Region 12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52.42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SC10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45.13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60.06</w:t>
            </w:r>
          </w:p>
        </w:tc>
      </w:tr>
      <w:tr>
        <w:trPr>
          <w:cantSplit w:val="true"/>
        </w:trPr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Low demand, −10% by 2030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56.00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SC11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47.55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1953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93.34</w:t>
            </w:r>
          </w:p>
        </w:tc>
      </w:tr>
    </w:tbl>
    <w:p>
      <w:pPr>
        <w:keepNext w:val="0"/>
        <w:spacing w:after="40" w:line="240" w:lineRule="auto"/>
      </w:pPr>
    </w:p>
    <w:p>
      <w:pPr>
        <w:keepNext w:val="0"/>
        <w:spacing w:after="6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Macro-demand drivers reach ±10% by 2030 and fiscal-price conditions ±20%. SC8 remains the equal-weight leader and the most frequently top-ranked scenario in both geographies across these stress paths.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I. Hard-budget realization stress for SC10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  <w:cantSplit w:val="true"/>
        </w:trPr>
        <w:tc>
          <w:tcPr>
            <w:tcW w:type="dxa" w:w="3125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KPI</w:t>
            </w:r>
          </w:p>
        </w:tc>
        <w:tc>
          <w:tcPr>
            <w:tcW w:type="dxa" w:w="3125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Hard vs standard, mean (%)</w:t>
            </w:r>
          </w:p>
        </w:tc>
        <w:tc>
          <w:tcPr>
            <w:tcW w:type="dxa" w:w="3125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Hard vs standard, 2030 (%)</w:t>
            </w:r>
          </w:p>
        </w:tc>
        <w:tc>
          <w:tcPr>
            <w:tcW w:type="dxa" w:w="3125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Standard SC10 vs SC0, mean (%)</w:t>
            </w:r>
          </w:p>
        </w:tc>
        <w:tc>
          <w:tcPr>
            <w:tcW w:type="dxa" w:w="3125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Hard-budget SC10 vs SC0, mean (%)</w:t>
            </w:r>
          </w:p>
        </w:tc>
      </w:tr>
      <w:tr>
        <w:trPr>
          <w:cantSplit w:val="true"/>
        </w:trPr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CO₂ emissions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-0.002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-0.009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-5.617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-5.619</w:t>
            </w:r>
          </w:p>
        </w:tc>
      </w:tr>
      <w:tr>
        <w:trPr>
          <w:cantSplit w:val="true"/>
        </w:trPr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-0.140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-0.803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44.529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44.327</w:t>
            </w:r>
          </w:p>
        </w:tc>
      </w:tr>
      <w:tr>
        <w:trPr>
          <w:cantSplit w:val="true"/>
        </w:trPr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PM₂.₅ emissions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-0.005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-0.031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-9.513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-9.518</w:t>
            </w:r>
          </w:p>
        </w:tc>
      </w:tr>
      <w:tr>
        <w:trPr>
          <w:cantSplit w:val="true"/>
        </w:trPr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Car time loss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0.014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0.094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-14.418</w:t>
            </w:r>
          </w:p>
        </w:tc>
        <w:tc>
          <w:tcPr>
            <w:tcW w:type="dxa" w:w="3125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-14.406</w:t>
            </w:r>
          </w:p>
        </w:tc>
      </w:tr>
    </w:tbl>
    <w:p>
      <w:pPr>
        <w:keepNext w:val="0"/>
        <w:spacing w:after="40" w:line="240" w:lineRule="auto"/>
      </w:pPr>
    </w:p>
    <w:p>
      <w:pPr>
        <w:keepNext w:val="0"/>
        <w:spacing w:after="6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Standard SC10 is conditional on financing. In the hard-budget stress, the one-year-lagged realization factor reaches 0.987 in 2029 and 0.921 in 2030; PT-share and car-time-loss changes remain modest and environmental directions are preserved.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J. ABM mediation check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Scenario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Geography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Mode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Normalized ML modal prior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Final feasible share</w:t>
            </w:r>
          </w:p>
        </w:tc>
        <w:tc>
          <w:tcPr>
            <w:tcW w:type="dxa" w:w="2604"/>
            <w:vAlign w:val="center"/>
            <w:shd w:fill="E7E6E6" w:val="clear" w:color="auto"/>
            <w:tcMar>
              <w:top w:w="40" w:type="dxa"/>
              <w:start w:w="45" w:type="dxa"/>
              <w:bottom w:w="40" w:type="dxa"/>
              <w:end w:w="45" w:type="dxa"/>
            </w:tcMar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ABM mediation (pp)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motorcycle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0.0687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0.0834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1.4719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car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0.5736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0.5638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-0.9773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taxi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0.1947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0.1937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-0.1013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bus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0.0380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0.0383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0.0296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metro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0.0929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0.0875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-0.5343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0.0322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0.0333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0.1114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motorcycle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0.2053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0.2049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-0.0465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car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0.2153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0.2074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-0.7922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taxi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0.1764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0.1753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-0.1166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bus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0.1093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0.1113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0.1986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metro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0.2397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0.2398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0.0152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0.0539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0.0614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0.7414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motorcycle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0.0670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0.0778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1.0812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car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0.5392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0.5288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-1.0407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taxi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0.2005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0.1956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-0.4925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bus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0.0561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0.0590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0.2921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metro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0.1019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0.1039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0.2044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0.0354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0.0349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-0.0445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motorcycle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0.2026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0.1926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-1.0029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car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0.2193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0.2081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-1.1184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taxi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0.1766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0.1707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-0.5912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bus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0.1083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0.1146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0.6272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metro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0.2357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0.2522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1.6540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0.0576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0.0619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0.4313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motorcycle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0.0670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0.0766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0.9640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car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0.5392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0.5198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-1.9385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taxi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0.2005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0.1925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-0.7986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bus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0.0561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0.0643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0.8259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metro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0.1019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0.1123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1.0437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0.0354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0.0344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-0.0965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motorcycle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0.2016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0.1856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-1.5987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car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0.2200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0.2007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-1.9258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taxi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0.1754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0.1640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-1.1420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bus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0.1088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0.1224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1.3601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metro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0.2364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0.2671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3.0631</w:t>
            </w:r>
          </w:p>
        </w:tc>
      </w:tr>
      <w:tr>
        <w:trPr>
          <w:cantSplit w:val="true"/>
        </w:trPr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other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0.0578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0.0602</w:t>
            </w:r>
          </w:p>
        </w:tc>
        <w:tc>
          <w:tcPr>
            <w:tcW w:type="dxa" w:w="2604"/>
            <w:vAlign w:val="top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6"/>
              </w:rPr>
              <w:t>0.2432</w:t>
            </w:r>
          </w:p>
        </w:tc>
      </w:tr>
    </w:tbl>
    <w:p>
      <w:pPr>
        <w:keepNext w:val="0"/>
        <w:spacing w:after="40" w:line="240" w:lineRule="auto"/>
      </w:pPr>
    </w:p>
    <w:p>
      <w:pPr>
        <w:keepNext w:val="0"/>
        <w:spacing w:after="60" w:before="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Final modal shares are resolved after ABM mediation of the normalized ML priors through policy exposure, access/compliance, service response, competition, and modal closure.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K. Empirical residual-vector propagation check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782"/>
        <w:gridCol w:w="1782"/>
        <w:gridCol w:w="1782"/>
        <w:gridCol w:w="1782"/>
        <w:gridCol w:w="1782"/>
        <w:gridCol w:w="1782"/>
        <w:gridCol w:w="1782"/>
      </w:tblGrid>
      <w:tr>
        <w:trPr>
          <w:tblHeader w:val="true"/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Scenario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Geography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Headline metrics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Direction-stable metrics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Minimum same-direction rate (%)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Median block span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Maximum block span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0.2395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1.0414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0.0909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0.2405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75.00%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0.2266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0.5492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0.1541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0.5311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SC3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75.00%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0.0302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0.0829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SC3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0.0904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0.2792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SC4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0.5348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1.4616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SC4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0.6075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1.7679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SC5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1.9450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8.3010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SC5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0.7981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2.9745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SC6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2.2009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9.9135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SC6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0.9065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3.5952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SC7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0.2901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8.5091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SC7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0.2617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5.4752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2.6160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11.5930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1.4307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4.6214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SC9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2.2846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9.7724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SC9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1.2068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3.6498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SC10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2.4956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9.8933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SC10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1.7937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5.3921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2.3332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9.9632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11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100.00%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1.3128</w:t>
            </w:r>
          </w:p>
        </w:tc>
        <w:tc>
          <w:tcPr>
            <w:tcW w:type="dxa" w:w="2232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3.7019</w:t>
            </w:r>
          </w:p>
        </w:tc>
      </w:tr>
    </w:tbl>
    <w:p>
      <w:pPr>
        <w:keepNext w:val="0"/>
        <w:spacing w:before="0" w:after="6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Empirical residual propagation uses complete 12-modal-prior residual vectors from non-COVID rolling-origin years and their sign reversals. The near-zero Tehran PM₂.₅ effects of SC2 and SC3 are again the only headline cases without full direction stability.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 w:eastAsia="Times New Roman" w:cs="Times New Roman"/>
          <w:b/>
          <w:i w:val="0"/>
          <w:color w:val="000000"/>
          <w:sz w:val="16"/>
        </w:rPr>
        <w:t>Panel L. ABM policy-mediation ablation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  <w:cantSplit w:val="true"/>
        </w:trPr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Scenario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Geography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Metric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Full model effect (%)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Effect with ABM policy-response coefficients set to zero (%)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E7E6E6" w:val="clear" w:color="auto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i w:val="0"/>
                <w:color w:val="000000"/>
                <w:sz w:val="16"/>
              </w:rPr>
              <w:t>ABM contribution (percentage points)</w:t>
            </w:r>
          </w:p>
        </w:tc>
      </w:tr>
      <w:tr>
        <w:trPr>
          <w:cantSplit w:val="true"/>
        </w:trPr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SC2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Modal share: car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-2.460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-0.015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-2.445</w:t>
            </w:r>
          </w:p>
        </w:tc>
      </w:tr>
      <w:tr>
        <w:trPr>
          <w:cantSplit w:val="true"/>
        </w:trPr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SC5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33.296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20.511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12.785</w:t>
            </w:r>
          </w:p>
        </w:tc>
      </w:tr>
      <w:tr>
        <w:trPr>
          <w:cantSplit w:val="true"/>
        </w:trPr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SC8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8.248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0.000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8.248</w:t>
            </w:r>
          </w:p>
        </w:tc>
      </w:tr>
      <w:tr>
        <w:trPr>
          <w:cantSplit w:val="true"/>
        </w:trPr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Tehran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44.529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20.511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24.018</w:t>
            </w:r>
          </w:p>
        </w:tc>
      </w:tr>
      <w:tr>
        <w:trPr>
          <w:cantSplit w:val="true"/>
        </w:trPr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SC10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Region 12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</w:r>
            <w:r>
              <w:rPr>
                <w:rFonts w:ascii="Times New Roman" w:hAnsi="Times New Roman" w:eastAsia="Times New Roman" w:cs="Times New Roman"/>
                <w:b w:val="0"/>
                <w:i w:val="0"/>
                <w:color w:val="000000"/>
                <w:sz w:val="16"/>
              </w:rPr>
              <w:t>Public transport modal share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12.231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-1.232</w:t>
            </w:r>
          </w:p>
        </w:tc>
        <w:tc>
          <w:tcPr>
            <w:tcW w:type="dxa" w:w="2604"/>
            <w:tcMar>
              <w:top w:w="40" w:type="dxa"/>
              <w:start w:w="45" w:type="dxa"/>
              <w:bottom w:w="40" w:type="dxa"/>
              <w:end w:w="45" w:type="dxa"/>
            </w:tcMar>
            <w:shd w:fill="FFFFFF" w:val="clear" w:color="auto"/>
            <w:vAlign w:val="top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16"/>
              </w:rPr>
              <w:t>13.462</w:t>
            </w:r>
          </w:p>
        </w:tc>
      </w:tr>
    </w:tbl>
    <w:p>
      <w:pPr>
        <w:keepNext w:val="0"/>
        <w:spacing w:before="0" w:after="60" w:line="240" w:lineRule="auto"/>
        <w:jc w:val="left"/>
      </w:pPr>
      <w:r>
        <w:rPr>
          <w:rFonts w:ascii="Times New Roman" w:hAnsi="Times New Roman" w:eastAsia="Times New Roman" w:cs="Times New Roman"/>
          <w:b w:val="0"/>
          <w:i/>
          <w:color w:val="000000"/>
          <w:sz w:val="16"/>
        </w:rPr>
        <w:t>Note. The ablation sets ABM policy-response coefficients to zero while holding ML priors, SD relations, scenario inputs, and modal closure fixed. The attenuation isolates the contribution of meso-level ABM mediation.</w:t>
      </w:r>
    </w:p>
    <w:sectPr>
      <w:pgSz w:w="16838" w:h="11906" w:orient="landscape"/>
      <w:pgMar w:top="605" w:right="605" w:bottom="605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Times New Roman" w:cs="Times New Roman"/>
        <w:sz w:val="16"/>
        <w:szCs w:val="16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 w:eastAsia="Times New Roman" w:cs="Times New Roman"/>
      <w:color w:val="000000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2013-12-23T23:15:00Z</dcterms:created>
  <dcterms:modified xsi:type="dcterms:W3CDTF">2013-12-23T23:15:00Z</dcterms:modified>
  <cp:category/>
</cp:coreProperties>
</file>