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before="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8"/>
        </w:rPr>
        <w:t>Table S9. Historical parameterization, calibration coverage, and local recovery</w:t>
      </w:r>
    </w:p>
    <w:p>
      <w:pPr>
        <w:keepNext w:val="0"/>
        <w:spacing w:before="0" w:after="60" w:line="240" w:lineRule="auto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This table separates historical parameterization and reconstruction from the four-scalar local recovery analysis. Observed or reconstructible quantities are anchored independently; downstream consequences are generated endogenously.</w:t>
      </w:r>
    </w:p>
    <w:p>
      <w:pPr>
        <w:keepNext/>
        <w:spacing w:before="80" w:after="4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A. Historical parameterization routes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07"/>
        <w:gridCol w:w="3907"/>
        <w:gridCol w:w="3907"/>
        <w:gridCol w:w="3907"/>
      </w:tblGrid>
      <w:tr>
        <w:trPr>
          <w:tblHeader w:val="true"/>
          <w:cantSplit/>
        </w:trPr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Route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Quantity family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Historical basis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ML modal-prior fitting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12 modal-prior surrogates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Temporally admissible lagged modal and system data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Offline supervised fitting; feature lists and settings are fixed before terminal evaluation.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Direct historical anchoring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Observed or observation-derived inputs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Harmonized annual historical series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 values are supplied directly where the quantity is observed; they are not re-estimated by local recovery.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Stock reconstruction / alignment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Network and public-transport fleet stocks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Observed annual targets, purchases, and retirements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Network stocks follow target-alignment flows; fleet stocks follow stock-flow identities.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Demographic flow calibration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Tehran population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2012–2023 population and age-composition observations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Continuous demographic balance recovers the net migration coefficient used in the model.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Fare-base reconstruction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and metro fare bases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Observed fares and replayed cumulative fare indices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Projection bases are reconstructed analytically from the 2023 observed fares and historical fare-index paths.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Four-scalar local recovery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Speed, congestion, and delay response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2013–2021 multi-domain reconstruction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Only the four screened response scalars are evaluated jointly within local bounds.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Fixed structural / accounting / ABM specification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Source, accounting, and mediation coefficients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Data sources, literature, accounting identities, and model specification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Retained at documented values; targeted sensitivity is used where needed.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Endogenous consequences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Downstream SD/ABM outputs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Inherited through the upstream specification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Generated by the closed-loop relations; not independently fitted.</w:t>
            </w:r>
          </w:p>
        </w:tc>
      </w:tr>
    </w:tbl>
    <w:p>
      <w:pPr>
        <w:keepNext/>
        <w:spacing w:before="80" w:after="4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B. Coverage of the 16 stock states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07"/>
        <w:gridCol w:w="3907"/>
        <w:gridCol w:w="3907"/>
        <w:gridCol w:w="3907"/>
      </w:tblGrid>
      <w:tr>
        <w:trPr>
          <w:tblHeader w:val="true"/>
          <w:cantSplit/>
        </w:trPr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Stock family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Number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Historical treatment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population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Calibrated demographic stock using observed population history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Historically aligned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Network length (bicycle, BRT, highway, metro)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Annual target-tracking stock updates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Historically aligned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Public-transport fleet (BRT, bus, metro cars, taxi)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Observed purchases and retirements applied through stock-flow identities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Historically reconstructed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Fare and inflation indices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Exact recurrence from mapped annual fare/inflation rates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Historically reconstructed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Private vehicle fleets (motorcycle, private car)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Structural stock-flow evolution because direct annual stock targets are unavailable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Structural; no direct released annual target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Cumulative transport financial balance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Endogenous accumulation of transport revenue minus cost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Endogenous accounting; not a calibration target</w:t>
            </w:r>
          </w:p>
        </w:tc>
      </w:tr>
    </w:tbl>
    <w:p>
      <w:pPr>
        <w:keepNext/>
        <w:spacing w:before="80" w:after="4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C. Calibration domains and weights used in Eq. 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07"/>
        <w:gridCol w:w="3907"/>
        <w:gridCol w:w="3907"/>
        <w:gridCol w:w="3907"/>
      </w:tblGrid>
      <w:tr>
        <w:trPr>
          <w:tblHeader w:val="true"/>
          <w:cantSplit/>
        </w:trPr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Calibration domain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Weight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Number of series</w:t>
            </w:r>
          </w:p>
        </w:tc>
        <w:tc>
          <w:tcPr>
            <w:tcW w:type="dxa" w:w="390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Series represented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Tehran modal shares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Motorcycle, car, taxi, bus, metro, and other modal shares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 modal shares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0.25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Motorcycle, car, taxi, bus, metro, and other modal shares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Energy and environment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Gasoline use, CNG use, PM₂.₅ concentration, and NO₂ concentration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Service speed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Motorcycle, car, taxi, bus, and metro speeds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Travel activity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Total trips, bus trips, metro trips, and trips per person per day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Annual vehicle distance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Car, taxi, and motorcycle annual distance</w:t>
            </w:r>
          </w:p>
        </w:tc>
      </w:tr>
      <w:tr>
        <w:trPr>
          <w:cantSplit/>
        </w:trPr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Operational shares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907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share of bus service and taxi gasoline/CNG carrier shares</w:t>
            </w:r>
          </w:p>
        </w:tc>
      </w:tr>
    </w:tbl>
    <w:p>
      <w:pPr>
        <w:keepNext/>
        <w:spacing w:before="80" w:after="4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D. Sensitivity screen and four-scalar recovery set</w:t>
      </w:r>
    </w:p>
    <w:p>
      <w:pPr>
        <w:keepNext w:val="0"/>
        <w:spacing w:before="0" w:after="4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  <w:t>The four recovery components correspond to the vector ϑ in Eq. 12.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6"/>
        <w:gridCol w:w="3126"/>
        <w:gridCol w:w="3126"/>
        <w:gridCol w:w="3126"/>
        <w:gridCol w:w="3126"/>
      </w:tblGrid>
      <w:tr>
        <w:trPr>
          <w:tblHeader w:val="true"/>
          <w:cantSplit/>
        </w:trPr>
        <w:tc>
          <w:tcPr>
            <w:tcW w:type="dxa" w:w="312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Recovery component</w:t>
            </w:r>
          </w:p>
        </w:tc>
        <w:tc>
          <w:tcPr>
            <w:tcW w:type="dxa" w:w="312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Parameter description</w:t>
            </w:r>
          </w:p>
        </w:tc>
        <w:tc>
          <w:tcPr>
            <w:tcW w:type="dxa" w:w="312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±10% historical-loss sensitivity</w:t>
            </w:r>
          </w:p>
        </w:tc>
        <w:tc>
          <w:tcPr>
            <w:tcW w:type="dxa" w:w="312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Reference / retained value</w:t>
            </w:r>
          </w:p>
        </w:tc>
        <w:tc>
          <w:tcPr>
            <w:tcW w:type="dxa" w:w="312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m:oMath>
              <m:sSub>
                <m:e>
                  <m:r>
                    <m:t>ϑ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 car-speed factor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1.98 × 10⁻³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1.000 / 1.000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Joint local recovery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m:oMath>
              <m:sSub>
                <m:e>
                  <m:r>
                    <m:t>ϑ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 bus-speed factor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3.80 × 10⁻³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1.000 / 1.000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Joint local recovery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m:oMath>
              <m:sSub>
                <m:e>
                  <m:r>
                    <m:t>ϑ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 congestion multiplier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9.21 × 10⁻⁴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3.04882 / 3.04882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Joint local recovery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m:oMath>
              <m:sSub>
                <m:e>
                  <m:r>
                    <m:t>ϑ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 congestion-to-delay response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5.55 × 10⁻⁴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1.000 / 1.000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Joint local recovery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—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congestion-to-delay response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Zero sensitivity in the recovery objective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—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 historical-speed factor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1.23422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 annual-series anchor; not scalar-recovered</w:t>
            </w:r>
          </w:p>
        </w:tc>
      </w:tr>
      <w:tr>
        <w:trPr>
          <w:cantSplit/>
        </w:trPr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—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Car-energy closure factor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1.38087</w:t>
            </w:r>
          </w:p>
        </w:tc>
        <w:tc>
          <w:tcPr>
            <w:tcW w:type="dxa" w:w="312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 annual-series anchor; not scalar-recovered</w:t>
            </w:r>
          </w:p>
        </w:tc>
      </w:tr>
    </w:tbl>
    <w:p>
      <w:pPr>
        <w:keepNext/>
        <w:spacing w:before="80" w:after="4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E. Local recovery design and retained result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814"/>
        <w:gridCol w:w="7814"/>
      </w:tblGrid>
      <w:tr>
        <w:trPr>
          <w:tblHeader w:val="true"/>
          <w:cantSplit/>
        </w:trPr>
        <w:tc>
          <w:tcPr>
            <w:tcW w:type="dxa" w:w="781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781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Specification / result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Recovery window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2013–2021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Terminal validation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2022–2023 modal-share targets excluded from the recovery objective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Local bounds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±10% around the reference values for the four recovery scalars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Candidate search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Tree-structured Parzen estimator (Optuna); all candidates are re-evaluated with the closed-loop historical simulator.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Evaluated TPE candidates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40, including the reference vector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Independent random cross-check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36 unique random non-reference candidates.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Regularization term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Mean squared standardized displacement from the reference vector, using a 10% reference scale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Regularization coefficient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λ = 0.040; smallest tested value retaining the reference recovery vector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Modal-closure penalty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γ = 0.010; all admissible completed candidates have zero modal-closure violations, so γ does not alter selection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 regularized objective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0.08276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Best regularized objective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0.08276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Best unregularized fit loss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0.07706, reported only as a regularization sensitivity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Selected result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 four-scalar vector retained; primary scenario outputs unchanged</w:t>
            </w:r>
          </w:p>
        </w:tc>
      </w:tr>
      <w:tr>
        <w:trPr>
          <w:cantSplit/>
        </w:trPr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Claim boundary</w:t>
            </w:r>
          </w:p>
        </w:tc>
        <w:tc>
          <w:tcPr>
            <w:tcW w:type="dxa" w:w="781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Local compatibility test for the declared free-scalar subset; not a claim of unique global optimality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  <w:t>Interpretation. The recovery analysis is intentionally local: observed, reconstructed, and analytically anchored quantities remain outside the search, and terminal-holdout targets, policy outcomes, and scenario rankings do not enter the objective.</w:t>
      </w:r>
    </w:p>
    <w:sectPr w:rsidR="005D0DFE" w:rsidRPr="00FA3160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081752">
    <w:abstractNumId w:val="8"/>
  </w:num>
  <w:num w:numId="2" w16cid:durableId="11805867">
    <w:abstractNumId w:val="6"/>
  </w:num>
  <w:num w:numId="3" w16cid:durableId="1689671326">
    <w:abstractNumId w:val="5"/>
  </w:num>
  <w:num w:numId="4" w16cid:durableId="620302797">
    <w:abstractNumId w:val="4"/>
  </w:num>
  <w:num w:numId="5" w16cid:durableId="2055035290">
    <w:abstractNumId w:val="7"/>
  </w:num>
  <w:num w:numId="6" w16cid:durableId="1090078185">
    <w:abstractNumId w:val="3"/>
  </w:num>
  <w:num w:numId="7" w16cid:durableId="1683244553">
    <w:abstractNumId w:val="2"/>
  </w:num>
  <w:num w:numId="8" w16cid:durableId="1051270180">
    <w:abstractNumId w:val="1"/>
  </w:num>
  <w:num w:numId="9" w16cid:durableId="26006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6B8"/>
    <w:rsid w:val="005D0DFE"/>
    <w:rsid w:val="006B12A0"/>
    <w:rsid w:val="00AA1D8D"/>
    <w:rsid w:val="00B47730"/>
    <w:rsid w:val="00CB0664"/>
    <w:rsid w:val="00FA3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EC789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1734</Words>
  <Characters>9889</Characters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2013-12-23T23:15:00Z</dcterms:created>
  <dcterms:modified xsi:type="dcterms:W3CDTF">2026-08-17T02:15:00Z</dcterms:modified>
  <cp:category/>
</cp:coreProperties>
</file>