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Arial" w:cs="Arial" w:eastAsia="Arial" w:hAnsi="Arial"/>
          <w:b/>
          <w:bCs/>
          <w:caps/>
          <w:color w:val="1F3864"/>
          <w:sz w:val="40"/>
          <w:szCs w:val="40"/>
        </w:rPr>
        <w:t xml:space="preserve">RAPPORT EXPLICATIF</w:t>
      </w:r>
    </w:p>
    <w:p>
      <w:pPr>
        <w:pBdr>
          <w:bottom w:val="single" w:color="C55A11" w:sz="6" w:space="4"/>
        </w:pBdr>
        <w:spacing w:after="80" w:before="0"/>
        <w:jc w:val="center"/>
      </w:pPr>
      <w:r>
        <w:rPr>
          <w:rFonts w:ascii="Arial" w:cs="Arial" w:eastAsia="Arial" w:hAnsi="Arial"/>
          <w:b/>
          <w:bCs/>
          <w:color w:val="2E75B6"/>
          <w:sz w:val="28"/>
          <w:szCs w:val="28"/>
        </w:rPr>
        <w:t xml:space="preserve">EDA &amp; Preprocessing — Modèle de Probabilité de Défaut (PD)</w:t>
      </w:r>
    </w:p>
    <w:p>
      <w:pPr>
        <w:spacing w:after="0" w:before="80"/>
      </w:pPr>
    </w:p>
    <w:p>
      <w:pPr>
        <w:spacing w:after="40" w:before="80"/>
        <w:jc w:val="center"/>
      </w:pPr>
      <w:r>
        <w:rPr>
          <w:rFonts w:ascii="Arial" w:cs="Arial" w:eastAsia="Arial" w:hAnsi="Arial"/>
          <w:i/>
          <w:iCs/>
          <w:color w:val="505050"/>
          <w:sz w:val="22"/>
          <w:szCs w:val="22"/>
        </w:rPr>
        <w:t xml:space="preserve">Projet : PD Model — Segment Retail</w:t>
      </w:r>
    </w:p>
    <w:p>
      <w:pPr>
        <w:spacing w:after="40" w:before="0"/>
        <w:jc w:val="center"/>
      </w:pPr>
      <w:r>
        <w:rPr>
          <w:rFonts w:ascii="Arial" w:cs="Arial" w:eastAsia="Arial" w:hAnsi="Arial"/>
          <w:i/>
          <w:iCs/>
          <w:color w:val="505050"/>
          <w:sz w:val="22"/>
          <w:szCs w:val="22"/>
        </w:rPr>
        <w:t xml:space="preserve">Stage EY Tunisia — IFRS 9 / Credit Risk</w:t>
      </w:r>
    </w:p>
    <w:p>
      <w:pPr>
        <w:spacing w:after="240" w:before="0"/>
        <w:jc w:val="center"/>
      </w:pPr>
      <w:r>
        <w:rPr>
          <w:rFonts w:ascii="Arial" w:cs="Arial" w:eastAsia="Arial" w:hAnsi="Arial"/>
          <w:color w:val="505050"/>
          <w:sz w:val="22"/>
          <w:szCs w:val="22"/>
        </w:rPr>
        <w:t xml:space="preserve">Juin 2026</w:t>
      </w:r>
    </w:p>
    <w:p>
      <w:pPr>
        <w:spacing w:after="80" w:before="240"/>
        <w:jc w:val="center"/>
      </w:pPr>
      <w:r>
        <w:rPr>
          <w:rFonts w:ascii="Arial" w:cs="Arial" w:eastAsia="Arial" w:hAnsi="Arial"/>
          <w:b/>
          <w:bCs/>
          <w:color w:val="1F3864"/>
          <w:sz w:val="20"/>
          <w:szCs w:val="20"/>
        </w:rPr>
        <w:t xml:space="preserve">Notebook couvert : PD_Model.ipynb</w:t>
      </w:r>
    </w:p>
    <w:p>
      <w:pPr>
        <w:spacing w:after="240" w:before="0"/>
        <w:jc w:val="center"/>
      </w:pPr>
      <w:r>
        <w:rPr>
          <w:rFonts w:ascii="Arial" w:cs="Arial" w:eastAsia="Arial" w:hAnsi="Arial"/>
          <w:color w:val="505050"/>
          <w:sz w:val="20"/>
          <w:szCs w:val="20"/>
        </w:rPr>
        <w:t xml:space="preserve">Référence complémentaire : Partie 1 — Compréhension et Sélection des Variables</w:t>
      </w:r>
    </w:p>
    <w:p>
      <w:r>
        <w:br w:type="page"/>
      </w:r>
    </w:p>
    <w:p>
      <w:pPr>
        <w:pStyle w:val="Heading1"/>
        <w:pBdr>
          <w:bottom w:val="single" w:color="C55A11" w:sz="4" w:space="4"/>
        </w:pBdr>
        <w:shd w:fill="1F3864" w:val="clear"/>
        <w:spacing w:after="120" w:before="360"/>
        <w:ind w:left="200" w:right="200"/>
      </w:pPr>
      <w:r>
        <w:rPr>
          <w:rFonts w:ascii="Arial" w:cs="Arial" w:eastAsia="Arial" w:hAnsi="Arial"/>
          <w:b/>
          <w:bCs/>
          <w:color w:val="FFFFFF"/>
          <w:sz w:val="30"/>
          <w:szCs w:val="30"/>
        </w:rPr>
        <w:t xml:space="preserve">Introduction Générale</w:t>
      </w:r>
    </w:p>
    <w:p>
      <w:pPr>
        <w:spacing w:after="0" w:before="80"/>
      </w:pPr>
    </w:p>
    <w:p>
      <w:pPr>
        <w:spacing w:after="80" w:before="60"/>
      </w:pPr>
      <w:r>
        <w:rPr>
          <w:rFonts w:ascii="Arial" w:cs="Arial" w:eastAsia="Arial" w:hAnsi="Arial"/>
          <w:sz w:val="20"/>
          <w:szCs w:val="20"/>
        </w:rPr>
        <w:t xml:space="preserve">Ce rapport accompagne le notebook PD_Model.ipynb réalisé dans le cadre du stage EY Tunisia. Il couvre les deux grandes phases qui précèdent la modélisation proprement dite : l'Analyse Exploratoire des Données (EDA) et le Prétraitement (Preprocessing). L'objectif est double : vous permettre de comprendre chaque choix technique en profondeur et vous donner les arguments nécessaires pour les défendre devant votre encadrant.</w:t>
      </w:r>
    </w:p>
    <w:p>
      <w:pPr>
        <w:spacing w:after="0" w:before="80"/>
      </w:pPr>
    </w:p>
    <w:p>
      <w:pPr>
        <w:spacing w:after="80" w:before="60"/>
      </w:pPr>
      <w:r>
        <w:rPr>
          <w:rFonts w:ascii="Arial" w:cs="Arial" w:eastAsia="Arial" w:hAnsi="Arial"/>
          <w:sz w:val="20"/>
          <w:szCs w:val="20"/>
        </w:rPr>
        <w:t xml:space="preserve">Le projet vise à construire un modèle de Probabilité de Défaut (PD) sur un portefeuille retail de 12 000 clients. Ce type de modèle est au cœur des exigences réglementaires Bâle II/III et IFRS 9 : il permet de calculer la provision qu'une banque doit constituer pour couvrir ses pertes de crédit anticipées (ECL = PD × LGD × EAD).</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projet en entier</w:t>
            </w:r>
          </w:p>
          <w:p>
            <w:pPr>
              <w:spacing w:after="20" w:before="20"/>
            </w:pPr>
            <w:r>
              <w:rPr>
                <w:rFonts w:ascii="Arial" w:cs="Arial" w:eastAsia="Arial" w:hAnsi="Arial"/>
                <w:i/>
                <w:iCs/>
                <w:color w:val="404040"/>
                <w:sz w:val="19"/>
                <w:szCs w:val="19"/>
              </w:rPr>
              <w:t xml:space="preserve">Imaginez que vous voulez prédire si un client va faire faillite avant d'acheter une voiture. Avant de construire votre « oracle » (le modèle), vous devez d'abord comprendre qui sont vos clients (EDA), puis nettoyer et standardiser les données pour que votre oracle travaille proprement (Preprocessing). Ce rapport documente ces deux phases préparatoires.</w:t>
            </w:r>
          </w:p>
        </w:tc>
      </w:tr>
    </w:tbl>
    <w:p>
      <w:pPr>
        <w:spacing w:after="0" w:before="80"/>
      </w:pPr>
    </w:p>
    <w:p>
      <w:r>
        <w:br w:type="page"/>
      </w:r>
    </w:p>
    <w:p>
      <w:pPr>
        <w:pStyle w:val="Heading1"/>
        <w:pBdr>
          <w:bottom w:val="single" w:color="C55A11" w:sz="4" w:space="4"/>
        </w:pBdr>
        <w:shd w:fill="1F3864" w:val="clear"/>
        <w:spacing w:after="120" w:before="360"/>
        <w:ind w:left="200" w:right="200"/>
      </w:pPr>
      <w:r>
        <w:rPr>
          <w:rFonts w:ascii="Arial" w:cs="Arial" w:eastAsia="Arial" w:hAnsi="Arial"/>
          <w:b/>
          <w:bCs/>
          <w:color w:val="FFFFFF"/>
          <w:sz w:val="30"/>
          <w:szCs w:val="30"/>
        </w:rPr>
        <w:t xml:space="preserve">PARTIE 1 — Analyse Exploratoire des Données (EDA)</w:t>
      </w:r>
    </w:p>
    <w:p>
      <w:pPr>
        <w:spacing w:after="0" w:before="80"/>
      </w:pPr>
    </w:p>
    <w:p>
      <w:pPr>
        <w:spacing w:after="80" w:before="60"/>
      </w:pPr>
      <w:r>
        <w:rPr>
          <w:rFonts w:ascii="Arial" w:cs="Arial" w:eastAsia="Arial" w:hAnsi="Arial"/>
          <w:sz w:val="20"/>
          <w:szCs w:val="20"/>
        </w:rPr>
        <w:t xml:space="preserve">L'EDA est une phase d'investigation : on examine les données avant de les transformer ou de les modéliser. Elle répond à la question fondamentale « Qu'est-ce que ces données nous disent ? » et oriente toutes les décisions techniques qui suivent.</w:t>
      </w:r>
    </w:p>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Section 0 — Imports et Configuration</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Cette cellule charge les bibliothèques Python nécessaires au projet : pandas (manipulation de tableaux de données), numpy (calculs numériques), matplotlib et seaborn (visualisations), scipy (tests statistiques). Elle définit également le style global des graphiques et le chemin vers le fichier Excel de données.</w:t>
      </w:r>
    </w:p>
    <w:p>
      <w:pPr>
        <w:spacing w:after="0" w:before="80"/>
      </w:pPr>
    </w:p>
    <w:p>
      <w:pPr>
        <w:pStyle w:val="Heading3"/>
        <w:spacing w:after="60" w:before="200"/>
      </w:pPr>
      <w:r>
        <w:rPr>
          <w:rFonts w:ascii="Arial" w:cs="Arial" w:eastAsia="Arial" w:hAnsi="Arial"/>
          <w:b/>
          <w:bCs/>
          <w:color w:val="1F3864"/>
          <w:sz w:val="22"/>
          <w:szCs w:val="22"/>
        </w:rPr>
        <w:t xml:space="preserve">Pourquoi cette étape existe</w:t>
      </w:r>
    </w:p>
    <w:p>
      <w:pPr>
        <w:spacing w:after="80" w:before="60"/>
      </w:pPr>
      <w:r>
        <w:rPr>
          <w:rFonts w:ascii="Arial" w:cs="Arial" w:eastAsia="Arial" w:hAnsi="Arial"/>
          <w:sz w:val="20"/>
          <w:szCs w:val="20"/>
        </w:rPr>
        <w:t xml:space="preserve">En Python, toutes les bibliothèques doivent être importées avant utilisation. Cette cellule est la « liste de courses » du notebook : si un import manque, tout le reste plantera. Le style global (sns.set_theme) garantit une cohérence visuelle entre tous les graphiques du rapport.</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Les imports</w:t>
            </w:r>
          </w:p>
          <w:p>
            <w:pPr>
              <w:spacing w:after="20" w:before="20"/>
            </w:pPr>
            <w:r>
              <w:rPr>
                <w:rFonts w:ascii="Arial" w:cs="Arial" w:eastAsia="Arial" w:hAnsi="Arial"/>
                <w:i/>
                <w:iCs/>
                <w:color w:val="404040"/>
                <w:sz w:val="19"/>
                <w:szCs w:val="19"/>
              </w:rPr>
              <w:t xml:space="preserve">C'est comme préparer votre atelier avant de commencer un travail : vous posez vos outils sur la table (règle, crayon, calculatrice). Si vous oubliez la calculatrice, vous serez bloqué au milieu du travail.</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1 — Chargement des Données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dataset est chargé depuis un fichier Excel (</w:t>
      </w:r>
      <w:r>
        <w:rPr>
          <w:rFonts w:ascii="Arial" w:cs="Arial" w:eastAsia="Arial" w:hAnsi="Arial"/>
          <w:b/>
          <w:bCs/>
          <w:sz w:val="20"/>
          <w:szCs w:val="20"/>
        </w:rPr>
        <w:t xml:space="preserve">simulated_retail_pd_dataset_10_variables.xlsx</w:t>
      </w:r>
      <w:r>
        <w:rPr>
          <w:rFonts w:ascii="Arial" w:cs="Arial" w:eastAsia="Arial" w:hAnsi="Arial"/>
          <w:sz w:val="20"/>
          <w:szCs w:val="20"/>
        </w:rPr>
        <w:t xml:space="preserve">) via pandas. Le code affiche immédiatement les dimensions du dataset et un aperçu des premières lignes.</w:t>
      </w:r>
    </w:p>
    <w:p>
      <w:pPr>
        <w:spacing w:after="0" w:before="80"/>
      </w:pPr>
    </w:p>
    <w:p>
      <w:pPr>
        <w:pStyle w:val="Heading3"/>
        <w:spacing w:after="60" w:before="200"/>
      </w:pPr>
      <w:r>
        <w:rPr>
          <w:rFonts w:ascii="Arial" w:cs="Arial" w:eastAsia="Arial" w:hAnsi="Arial"/>
          <w:b/>
          <w:bCs/>
          <w:color w:val="1F3864"/>
          <w:sz w:val="22"/>
          <w:szCs w:val="22"/>
        </w:rPr>
        <w:t xml:space="preserve">Résultats obtenus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Lignes (observations)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12 000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Nombre de clients dans le portefeuille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Colonnes (variables)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ID + 1 cible + 10 prédicteurs</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Types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float64, int64, object</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Numériques continus, entiers, catégoriels</w:t>
            </w:r>
          </w:p>
        </w:tc>
      </w:tr>
    </w:tbl>
    <w:p>
      <w:pPr>
        <w:spacing w:after="0" w:before="80"/>
      </w:pPr>
    </w:p>
    <w:p>
      <w:pPr>
        <w:pStyle w:val="Heading3"/>
        <w:spacing w:after="60" w:before="200"/>
      </w:pPr>
      <w:r>
        <w:rPr>
          <w:rFonts w:ascii="Arial" w:cs="Arial" w:eastAsia="Arial" w:hAnsi="Arial"/>
          <w:b/>
          <w:bCs/>
          <w:color w:val="1F3864"/>
          <w:sz w:val="22"/>
          <w:szCs w:val="22"/>
        </w:rPr>
        <w:t xml:space="preserve">Pourquoi cette étape existe</w:t>
      </w:r>
    </w:p>
    <w:p>
      <w:pPr>
        <w:spacing w:after="80" w:before="60"/>
      </w:pPr>
      <w:r>
        <w:rPr>
          <w:rFonts w:ascii="Arial" w:cs="Arial" w:eastAsia="Arial" w:hAnsi="Arial"/>
          <w:sz w:val="20"/>
          <w:szCs w:val="20"/>
        </w:rPr>
        <w:t xml:space="preserve">La première chose à faire avec un dataset est de vérifier qu'il s'est bien chargé : bon nombre de lignes, bons types de colonnes. Un type incorrect (ex. un score numérique importé comme texte) ferait échouer tous les calculs suivants silencieusement.</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chargement</w:t>
            </w:r>
          </w:p>
          <w:p>
            <w:pPr>
              <w:spacing w:after="20" w:before="20"/>
            </w:pPr>
            <w:r>
              <w:rPr>
                <w:rFonts w:ascii="Arial" w:cs="Arial" w:eastAsia="Arial" w:hAnsi="Arial"/>
                <w:i/>
                <w:iCs/>
                <w:color w:val="404040"/>
                <w:sz w:val="19"/>
                <w:szCs w:val="19"/>
              </w:rPr>
              <w:t xml:space="preserve">C'est comme réceptionner une livraison et vérifier le bon de livraison : 12 000 colis reçus, 12 types de produits différents. Si le camion n'a livré que 5 000 colis ou si des boîtes sont vides, vous le savez tout de suite avant de commencer à travailler.</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2 — Analyse de la Variable Cible (default_12m)</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calcule la distribution de la variable cible (nombre et pourcentage de clients en défaut vs sains) et la visualise via un barplot et un diagramme circulaire.</w:t>
      </w:r>
    </w:p>
    <w:p>
      <w:pPr>
        <w:spacing w:after="0" w:before="80"/>
      </w:pPr>
    </w:p>
    <w:p>
      <w:pPr>
        <w:pStyle w:val="Heading3"/>
        <w:spacing w:after="60" w:before="200"/>
      </w:pPr>
      <w:r>
        <w:rPr>
          <w:rFonts w:ascii="Arial" w:cs="Arial" w:eastAsia="Arial" w:hAnsi="Arial"/>
          <w:b/>
          <w:bCs/>
          <w:color w:val="1F3864"/>
          <w:sz w:val="22"/>
          <w:szCs w:val="22"/>
        </w:rPr>
        <w:t xml:space="preserve">Résultats obtenus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Pourcentage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Non-défaut (0)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10 396</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86,63 %</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Défaut (1)    </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1 604 </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13,37 %</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Déséquilibre  </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Ratio 1:6,5</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Modéré — acceptable</w:t>
            </w:r>
          </w:p>
        </w:tc>
      </w:tr>
    </w:tbl>
    <w:p>
      <w:pPr>
        <w:spacing w:after="0" w:before="80"/>
      </w:pPr>
    </w:p>
    <w:p>
      <w:pPr>
        <w:pStyle w:val="Heading3"/>
        <w:spacing w:after="60" w:before="200"/>
      </w:pPr>
      <w:r>
        <w:rPr>
          <w:rFonts w:ascii="Arial" w:cs="Arial" w:eastAsia="Arial" w:hAnsi="Arial"/>
          <w:b/>
          <w:bCs/>
          <w:color w:val="1F3864"/>
          <w:sz w:val="22"/>
          <w:szCs w:val="22"/>
        </w:rPr>
        <w:t xml:space="preserve">Pourquoi cette étape est critique</w:t>
      </w:r>
    </w:p>
    <w:p>
      <w:pPr>
        <w:spacing w:after="80" w:before="60"/>
      </w:pPr>
      <w:r>
        <w:rPr>
          <w:rFonts w:ascii="Arial" w:cs="Arial" w:eastAsia="Arial" w:hAnsi="Arial"/>
          <w:sz w:val="20"/>
          <w:szCs w:val="20"/>
        </w:rPr>
        <w:t xml:space="preserve">On analyse TOUJOURS la variable cible en premier. Deux raisons fondamentales :</w:t>
      </w:r>
    </w:p>
    <w:p>
      <w:pPr>
        <w:pStyle w:val="ListParagraph"/>
        <w:numPr>
          <w:ilvl w:val="0"/>
          <w:numId w:val="2"/>
        </w:numPr>
        <w:spacing w:after="40" w:before="40"/>
      </w:pPr>
      <w:r>
        <w:rPr>
          <w:rFonts w:ascii="Arial" w:cs="Arial" w:eastAsia="Arial" w:hAnsi="Arial"/>
          <w:sz w:val="20"/>
          <w:szCs w:val="20"/>
        </w:rPr>
        <w:t xml:space="preserve">Vérifier le taux de défaut global : 13,37 % est cohérent avec les benchmarks bancaires pour le retail (typiquement 5-20%). Cela valide la qualité du dataset simulé.</w:t>
      </w:r>
    </w:p>
    <w:p>
      <w:pPr>
        <w:pStyle w:val="ListParagraph"/>
        <w:numPr>
          <w:ilvl w:val="0"/>
          <w:numId w:val="2"/>
        </w:numPr>
        <w:spacing w:after="40" w:before="40"/>
      </w:pPr>
      <w:r>
        <w:rPr>
          <w:rFonts w:ascii="Arial" w:cs="Arial" w:eastAsia="Arial" w:hAnsi="Arial"/>
          <w:sz w:val="20"/>
          <w:szCs w:val="20"/>
        </w:rPr>
        <w:t xml:space="preserve">Mesurer le déséquilibre des classes : un ratio 1:6,5 est qualifié de « déséquilibre modéré ». C'est important car si le modèle prédit toujours « 0 » (non-défaut), il aurait une accuracy de 86,6% sans avoir rien appris. Pour cette raison, on utilisera l'AUC-ROC et le F1-score, pas l'accuracy, pour évaluer le modèle.</w:t>
      </w:r>
    </w:p>
    <w:p>
      <w:pPr>
        <w:spacing w:after="0" w:before="80"/>
      </w:pPr>
    </w:p>
    <w:p>
      <w:pPr>
        <w:pStyle w:val="Heading3"/>
        <w:spacing w:after="60" w:before="200"/>
      </w:pPr>
      <w:r>
        <w:rPr>
          <w:rFonts w:ascii="Arial" w:cs="Arial" w:eastAsia="Arial" w:hAnsi="Arial"/>
          <w:b/>
          <w:bCs/>
          <w:color w:val="1F3864"/>
          <w:sz w:val="22"/>
          <w:szCs w:val="22"/>
        </w:rPr>
        <w:t xml:space="preserve">Impact sur les choix suivants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Métriques d'évaluation : AUC-ROC, Rappel, F1-score (pas l'accuracy)</w:t>
            </w:r>
          </w:p>
          <w:p>
            <w:pPr>
              <w:spacing w:after="30" w:before="30"/>
            </w:pPr>
            <w:r>
              <w:rPr>
                <w:rFonts w:ascii="Arial" w:cs="Arial" w:eastAsia="Arial" w:hAnsi="Arial"/>
                <w:color w:val="375623"/>
                <w:sz w:val="19"/>
                <w:szCs w:val="19"/>
              </w:rPr>
              <w:t xml:space="preserve">→ Pas besoin de SMOTE ou suréchantillonnage : le déséquilibre est assez faible</w:t>
            </w:r>
          </w:p>
          <w:p>
            <w:pPr>
              <w:spacing w:after="30" w:before="30"/>
            </w:pPr>
            <w:r>
              <w:rPr>
                <w:rFonts w:ascii="Arial" w:cs="Arial" w:eastAsia="Arial" w:hAnsi="Arial"/>
                <w:color w:val="375623"/>
                <w:sz w:val="19"/>
                <w:szCs w:val="19"/>
              </w:rPr>
              <w:t xml:space="preserve">→ Utiliser class_weight='balanced' dans sklearn pour compenser légèrement</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déséquilibre des classes</w:t>
            </w:r>
          </w:p>
          <w:p>
            <w:pPr>
              <w:spacing w:after="20" w:before="20"/>
            </w:pPr>
            <w:r>
              <w:rPr>
                <w:rFonts w:ascii="Arial" w:cs="Arial" w:eastAsia="Arial" w:hAnsi="Arial"/>
                <w:i/>
                <w:iCs/>
                <w:color w:val="404040"/>
                <w:sz w:val="19"/>
                <w:szCs w:val="19"/>
              </w:rPr>
              <w:t xml:space="preserve">Imaginez trier des emails : 87 mails normaux pour 13 spams. Si votre filtre dit toujours « c'est normal », il a 87% de bonnes réponses mais rate tous les spams. Ce qui compte, c'est de détecter les spams (les défauts), pas d'avoir un bon score global.</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3 — Valeurs Manquantes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calcule le nombre et le pourcentage de valeurs manquantes pour chaque variable et les visualise. Il effectue également une analyse clé : est-ce que les clients avec des données manquantes ont un taux de défaut différent ?</w:t>
      </w:r>
    </w:p>
    <w:p>
      <w:pPr>
        <w:spacing w:after="0" w:before="80"/>
      </w:pPr>
    </w:p>
    <w:p>
      <w:pPr>
        <w:pStyle w:val="Heading3"/>
        <w:spacing w:after="60" w:before="200"/>
      </w:pPr>
      <w:r>
        <w:rPr>
          <w:rFonts w:ascii="Arial" w:cs="Arial" w:eastAsia="Arial" w:hAnsi="Arial"/>
          <w:b/>
          <w:bCs/>
          <w:color w:val="1F3864"/>
          <w:sz w:val="22"/>
          <w:szCs w:val="22"/>
        </w:rPr>
        <w:t xml:space="preserve">Résultats obtenus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40"/>
        <w:gridCol w:w="1840"/>
        <w:gridCol w:w="1840"/>
        <w:gridCol w:w="1840"/>
        <w:gridCol w:w="1840"/>
      </w:tblGrid>
      <w:tr>
        <w:trPr>
          <w:tblHeader/>
        </w:trPr>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Manquants</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Pourcentage</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 défaut (manquant)</w:t>
            </w:r>
          </w:p>
        </w:tc>
        <w:tc>
          <w:tcPr>
            <w:tcW w:type="dxa" w:w="18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 défaut (renseigné)</w:t>
            </w:r>
          </w:p>
        </w:tc>
      </w:tr>
      <w:tr>
        <w:tc>
          <w:tcPr>
            <w:tcW w:type="dxa" w:w="1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bureau_score</w:t>
            </w:r>
          </w:p>
        </w:tc>
        <w:tc>
          <w:tcPr>
            <w:tcW w:type="dxa" w:w="1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298</w:t>
            </w:r>
          </w:p>
        </w:tc>
        <w:tc>
          <w:tcPr>
            <w:tcW w:type="dxa" w:w="1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2,48 %</w:t>
            </w:r>
          </w:p>
        </w:tc>
        <w:tc>
          <w:tcPr>
            <w:tcW w:type="dxa" w:w="1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14,09 %</w:t>
            </w:r>
          </w:p>
        </w:tc>
        <w:tc>
          <w:tcPr>
            <w:tcW w:type="dxa" w:w="18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13,35 %</w:t>
            </w:r>
          </w:p>
        </w:tc>
      </w:tr>
      <w:tr>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431</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3,59 %</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~identique</w:t>
            </w:r>
          </w:p>
        </w:tc>
        <w:tc>
          <w:tcPr>
            <w:tcW w:type="dxa" w:w="18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~identique</w:t>
            </w:r>
          </w:p>
        </w:tc>
      </w:tr>
    </w:tbl>
    <w:p>
      <w:pPr>
        <w:spacing w:after="0" w:before="80"/>
      </w:pPr>
    </w:p>
    <w:p>
      <w:pPr>
        <w:pStyle w:val="Heading3"/>
        <w:spacing w:after="60" w:before="200"/>
      </w:pPr>
      <w:r>
        <w:rPr>
          <w:rFonts w:ascii="Arial" w:cs="Arial" w:eastAsia="Arial" w:hAnsi="Arial"/>
          <w:b/>
          <w:bCs/>
          <w:color w:val="1F3864"/>
          <w:sz w:val="22"/>
          <w:szCs w:val="22"/>
        </w:rPr>
        <w:t xml:space="preserve">Pourquoi cette analyse du lien avec le défaut est essentielle</w:t>
      </w:r>
    </w:p>
    <w:p>
      <w:pPr>
        <w:spacing w:after="80" w:before="60"/>
      </w:pPr>
      <w:r>
        <w:rPr>
          <w:rFonts w:ascii="Arial" w:cs="Arial" w:eastAsia="Arial" w:hAnsi="Arial"/>
          <w:sz w:val="20"/>
          <w:szCs w:val="20"/>
        </w:rPr>
        <w:t xml:space="preserve">Cette vérification répond à une question statistique cruciale : « l'absence de donnée est-elle elle-même un signal de risque ? » (c'est ce qu'on appelle MNAR — Missing Not At Random). Si oui, on ne peut pas simplement imputer la valeur — il faudrait créer une variable indicatrice 'score_manquant = 1'.</w:t>
      </w:r>
    </w:p>
    <w:p>
      <w:pPr>
        <w:spacing w:after="80" w:before="60"/>
      </w:pPr>
      <w:r>
        <w:rPr>
          <w:rFonts w:ascii="Arial" w:cs="Arial" w:eastAsia="Arial" w:hAnsi="Arial"/>
          <w:sz w:val="20"/>
          <w:szCs w:val="20"/>
        </w:rPr>
        <w:t xml:space="preserve">Ici, les taux de défaut sont quasiment identiques → l'absence est aléatoire (MCAR/MAR). L'imputation simple par médiane est donc appropriée.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Seules bureau_score et monthly_income ont des valeurs manquantes (&lt; 4% chacune)</w:t>
            </w:r>
          </w:p>
          <w:p>
            <w:pPr>
              <w:spacing w:after="30" w:before="30"/>
            </w:pPr>
            <w:r>
              <w:rPr>
                <w:rFonts w:ascii="Arial" w:cs="Arial" w:eastAsia="Arial" w:hAnsi="Arial"/>
                <w:color w:val="375623"/>
                <w:sz w:val="19"/>
                <w:szCs w:val="19"/>
              </w:rPr>
              <w:t xml:space="preserve">→ L'absence n'est pas un signal de risque → pas de variable indicatrice nécessaire</w:t>
            </w:r>
          </w:p>
          <w:p>
            <w:pPr>
              <w:spacing w:after="30" w:before="30"/>
            </w:pPr>
            <w:r>
              <w:rPr>
                <w:rFonts w:ascii="Arial" w:cs="Arial" w:eastAsia="Arial" w:hAnsi="Arial"/>
                <w:color w:val="375623"/>
                <w:sz w:val="19"/>
                <w:szCs w:val="19"/>
              </w:rPr>
              <w:t xml:space="preserve">→ Imputation par la médiane choisie (robuste aux outliers, cf. Section 4)</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Les valeurs manquantes</w:t>
            </w:r>
          </w:p>
          <w:p>
            <w:pPr>
              <w:spacing w:after="20" w:before="20"/>
            </w:pPr>
            <w:r>
              <w:rPr>
                <w:rFonts w:ascii="Arial" w:cs="Arial" w:eastAsia="Arial" w:hAnsi="Arial"/>
                <w:i/>
                <w:iCs/>
                <w:color w:val="404040"/>
                <w:sz w:val="19"/>
                <w:szCs w:val="19"/>
              </w:rPr>
              <w:t xml:space="preserve">Un médecin a des dossiers de patients dont certains n'ont pas de tension artérielle mesurée. Avant d'imputer une valeur type, il vérifie si les patients sans mesure sont plus malades que les autres. Si non, c'est juste un oubli de paperasse — il peut utiliser la valeur typique. Si oui, l'absence elle-même est un symptôme qu'il ne faut pas effacer.</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4 — Statistiques Descriptives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génère un tableau de statistiques descriptives enrichi pour toutes les variables numériques : min, max, moyenne, médiane, écart-type, mais aussi le skewness (asymétrie) et le kurtosis (aplatissement de la distribution).</w:t>
      </w:r>
    </w:p>
    <w:p>
      <w:pPr>
        <w:spacing w:after="0" w:before="80"/>
      </w:pPr>
    </w:p>
    <w:p>
      <w:pPr>
        <w:pStyle w:val="Heading3"/>
        <w:spacing w:after="60" w:before="200"/>
      </w:pPr>
      <w:r>
        <w:rPr>
          <w:rFonts w:ascii="Arial" w:cs="Arial" w:eastAsia="Arial" w:hAnsi="Arial"/>
          <w:b/>
          <w:bCs/>
          <w:color w:val="1F3864"/>
          <w:sz w:val="22"/>
          <w:szCs w:val="22"/>
        </w:rPr>
        <w:t xml:space="preserve">Indicateurs clés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Skewness</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Kurtosis</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Interprétation</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2,39</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11,50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Très asymétrique — quelques très hauts revenus tirent la moyenne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max_dpd_12m</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élevé</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élevé</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Majorité à 0 jours, mais queue longue jusqu'à 90 jours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bureau_score</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Distribution proche de la normale — variable propre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missed_payments_3m</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élevé</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élevé</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Variable discrète — beaucoup de 0, quelques valeurs élevées</w:t>
            </w:r>
          </w:p>
        </w:tc>
      </w:tr>
    </w:tbl>
    <w:p>
      <w:pPr>
        <w:spacing w:after="0" w:before="80"/>
      </w:pPr>
    </w:p>
    <w:p>
      <w:pPr>
        <w:pStyle w:val="Heading3"/>
        <w:spacing w:after="60" w:before="200"/>
      </w:pPr>
      <w:r>
        <w:rPr>
          <w:rFonts w:ascii="Arial" w:cs="Arial" w:eastAsia="Arial" w:hAnsi="Arial"/>
          <w:b/>
          <w:bCs/>
          <w:color w:val="1F3864"/>
          <w:sz w:val="22"/>
          <w:szCs w:val="22"/>
        </w:rPr>
        <w:t xml:space="preserve">Pourquoi ces indicateurs importent</w:t>
      </w:r>
    </w:p>
    <w:p>
      <w:pPr>
        <w:spacing w:after="80" w:before="60"/>
      </w:pPr>
      <w:r>
        <w:rPr>
          <w:rFonts w:ascii="Arial" w:cs="Arial" w:eastAsia="Arial" w:hAnsi="Arial"/>
          <w:sz w:val="20"/>
          <w:szCs w:val="20"/>
        </w:rPr>
        <w:t xml:space="preserve">Le </w:t>
      </w:r>
      <w:r>
        <w:rPr>
          <w:rFonts w:ascii="Arial" w:cs="Arial" w:eastAsia="Arial" w:hAnsi="Arial"/>
          <w:b/>
          <w:bCs/>
          <w:sz w:val="20"/>
          <w:szCs w:val="20"/>
        </w:rPr>
        <w:t xml:space="preserve">skewness</w:t>
      </w:r>
      <w:r>
        <w:rPr>
          <w:rFonts w:ascii="Arial" w:cs="Arial" w:eastAsia="Arial" w:hAnsi="Arial"/>
          <w:sz w:val="20"/>
          <w:szCs w:val="20"/>
        </w:rPr>
        <w:t xml:space="preserve"> mesure l'asymétrie d'une distribution. Un skewness de 2,39 pour monthly_income signifie que la queue droite (hauts revenus) est très longue. La moyenne (2 229 €) est alors « tirée vers le haut » par quelques millionnaires et ne représente pas le client typique. La médiane (1 975 €) est plus représentative.</w:t>
      </w:r>
    </w:p>
    <w:p>
      <w:pPr>
        <w:spacing w:after="80" w:before="60"/>
      </w:pPr>
      <w:r>
        <w:rPr>
          <w:rFonts w:ascii="Arial" w:cs="Arial" w:eastAsia="Arial" w:hAnsi="Arial"/>
          <w:sz w:val="20"/>
          <w:szCs w:val="20"/>
        </w:rPr>
        <w:t xml:space="preserve">Pour la régression logistique, une distribution très asymétrique nuit à l'estimation des coefficients : un revenu de 15 000 € aurait un poids disproportionné sur la régression. C'est pourquoi un capping sera appliqué au Preprocessing.</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skewness</w:t>
            </w:r>
          </w:p>
          <w:p>
            <w:pPr>
              <w:spacing w:after="20" w:before="20"/>
            </w:pPr>
            <w:r>
              <w:rPr>
                <w:rFonts w:ascii="Arial" w:cs="Arial" w:eastAsia="Arial" w:hAnsi="Arial"/>
                <w:i/>
                <w:iCs/>
                <w:color w:val="404040"/>
                <w:sz w:val="19"/>
                <w:szCs w:val="19"/>
              </w:rPr>
              <w:t xml:space="preserve">Calculez la fortune moyenne dans une salle de 100 personnes normales. Maintenant faites entrer Elon Musk. La moyenne explose, mais elle ne représente plus personne dans la salle. La médiane, elle, ne change presque pas — c'est pourquoi on l'utilise pour représenter la personne typique.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5 — Distributions Numériques (Défaut vs Non-Défaut)</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Pour chaque variable numérique, le code trace un histogramme superposant deux courbes : en vert les clients sains (non-défaut) et en rouge les clients en défaut. La densité (et non le compte brut) est utilisée pour que les deux courbes soient comparables malgré le déséquilibre des classes.</w:t>
      </w:r>
    </w:p>
    <w:p>
      <w:pPr>
        <w:spacing w:after="0" w:before="80"/>
      </w:pPr>
    </w:p>
    <w:p>
      <w:pPr>
        <w:pStyle w:val="Heading3"/>
        <w:spacing w:after="60" w:before="200"/>
      </w:pPr>
      <w:r>
        <w:rPr>
          <w:rFonts w:ascii="Arial" w:cs="Arial" w:eastAsia="Arial" w:hAnsi="Arial"/>
          <w:b/>
          <w:bCs/>
          <w:color w:val="1F3864"/>
          <w:sz w:val="22"/>
          <w:szCs w:val="22"/>
        </w:rPr>
        <w:t xml:space="preserve">Ce que montrent les graphiques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Observation</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Signification métier</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bureau_score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Séparation nette : défauts à gauche, sains à droite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Excellent prédicteur — fort pouvoir discriminant</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utilization_rate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Défauts décalés vers les hautes valeurs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Clients surendettés défaillent plus</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dti</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Défauts légèrement décalés vers les hautes valeurs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Taux d'endettement élevé = risque accru</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max_dpd_12m</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Bimodal : majorité à 0, queue longue pour les défauts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Les retards passés prédisent les défauts futurs</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Queue droite très longue avant capping</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Outliers à neutraliser avant modélisation</w:t>
            </w:r>
          </w:p>
        </w:tc>
      </w:tr>
    </w:tbl>
    <w:p>
      <w:pPr>
        <w:spacing w:after="0" w:before="80"/>
      </w:pPr>
    </w:p>
    <w:p>
      <w:pPr>
        <w:pStyle w:val="Heading3"/>
        <w:spacing w:after="60" w:before="200"/>
      </w:pPr>
      <w:r>
        <w:rPr>
          <w:rFonts w:ascii="Arial" w:cs="Arial" w:eastAsia="Arial" w:hAnsi="Arial"/>
          <w:b/>
          <w:bCs/>
          <w:color w:val="1F3864"/>
          <w:sz w:val="22"/>
          <w:szCs w:val="22"/>
        </w:rPr>
        <w:t xml:space="preserve">Pourquoi visualiser défaut vs non-défaut</w:t>
      </w:r>
    </w:p>
    <w:p>
      <w:pPr>
        <w:spacing w:after="80" w:before="60"/>
      </w:pPr>
      <w:r>
        <w:rPr>
          <w:rFonts w:ascii="Arial" w:cs="Arial" w:eastAsia="Arial" w:hAnsi="Arial"/>
          <w:sz w:val="20"/>
          <w:szCs w:val="20"/>
        </w:rPr>
        <w:t xml:space="preserve">Cette comparaison visuelle identifie directement le pouvoir discriminant de chaque variable : si les deux distributions se superposent parfaitement, la variable n'apporte aucune information au modèle. Si elles sont bien séparées, c'est un excellent prédicteur. Cette inspection visuelle complète les corrélations calculées à la Section 8.</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séparabilité visuelle</w:t>
            </w:r>
          </w:p>
          <w:p>
            <w:pPr>
              <w:spacing w:after="20" w:before="20"/>
            </w:pPr>
            <w:r>
              <w:rPr>
                <w:rFonts w:ascii="Arial" w:cs="Arial" w:eastAsia="Arial" w:hAnsi="Arial"/>
                <w:i/>
                <w:iCs/>
                <w:color w:val="404040"/>
                <w:sz w:val="19"/>
                <w:szCs w:val="19"/>
              </w:rPr>
              <w:t xml:space="preserve">Vous voulez savoir si la taille des pommes prédit leur goût. Vous faites deux piles : bonnes pommes (vert) et mauvaises (rouge). Si toutes les grosses pommes sont bonnes et les petites mauvaises, la taille est un bon prédicteur. Si les deux piles ont les mêmes tailles, ce critère ne sert à rien.</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6 — Détection des Outliers (Boxplots)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trace des boxplots de chaque variable numérique, séparés par le statut de défaut (0 vs 1). Il identifie ensuite programmatiquement les valeurs extrêmes dépassant Q3 + 3×IQR (règle de Tukey étendue).</w:t>
      </w:r>
    </w:p>
    <w:p>
      <w:pPr>
        <w:spacing w:after="0" w:before="80"/>
      </w:pPr>
    </w:p>
    <w:p>
      <w:pPr>
        <w:pStyle w:val="Heading3"/>
        <w:spacing w:after="60" w:before="200"/>
      </w:pPr>
      <w:r>
        <w:rPr>
          <w:rFonts w:ascii="Arial" w:cs="Arial" w:eastAsia="Arial" w:hAnsi="Arial"/>
          <w:b/>
          <w:bCs/>
          <w:color w:val="1F3864"/>
          <w:sz w:val="22"/>
          <w:szCs w:val="22"/>
        </w:rPr>
        <w:t xml:space="preserve">Lecture d'un boxplot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Élément</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Boîte centrale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50% des données (entre Q1 et Q3) — l'IQR</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Ligne rouge (médiane)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Valeur centrale : 50% au-dessus, 50% en-dessous</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Moustaches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Valeurs jusqu'à Q1 - 1,5×IQR et Q3 + 1,5×IQR</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Points orange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Outliers : valeurs hors des moustaches</w:t>
            </w:r>
          </w:p>
        </w:tc>
      </w:tr>
    </w:tbl>
    <w:p>
      <w:pPr>
        <w:spacing w:after="0" w:before="80"/>
      </w:pPr>
    </w:p>
    <w:p>
      <w:pPr>
        <w:pStyle w:val="Heading3"/>
        <w:spacing w:after="60" w:before="200"/>
      </w:pPr>
      <w:r>
        <w:rPr>
          <w:rFonts w:ascii="Arial" w:cs="Arial" w:eastAsia="Arial" w:hAnsi="Arial"/>
          <w:b/>
          <w:bCs/>
          <w:color w:val="1F3864"/>
          <w:sz w:val="22"/>
          <w:szCs w:val="22"/>
        </w:rPr>
        <w:t xml:space="preserve">Résultats obtenus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Outliers extrêmes (&gt; Q3 + 3×IQR)</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130 outliers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Capping au P99</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missed_payments_3m</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2 992 (normal pour var. discrète)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Conservée telle quelle — nature discrète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dti</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Quelques valeurs &gt; 1</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Capping au P99</w:t>
            </w:r>
          </w:p>
        </w:tc>
      </w:tr>
    </w:tbl>
    <w:p>
      <w:pPr>
        <w:spacing w:after="0" w:before="80"/>
      </w:pPr>
    </w:p>
    <w:p>
      <w:pPr>
        <w:pStyle w:val="Heading3"/>
        <w:spacing w:after="60" w:before="200"/>
      </w:pPr>
      <w:r>
        <w:rPr>
          <w:rFonts w:ascii="Arial" w:cs="Arial" w:eastAsia="Arial" w:hAnsi="Arial"/>
          <w:b/>
          <w:bCs/>
          <w:color w:val="1F3864"/>
          <w:sz w:val="22"/>
          <w:szCs w:val="22"/>
        </w:rPr>
        <w:t xml:space="preserve">Pourquoi les outliers posent problème en régression logistique</w:t>
      </w:r>
    </w:p>
    <w:p>
      <w:pPr>
        <w:spacing w:after="80" w:before="60"/>
      </w:pPr>
      <w:r>
        <w:rPr>
          <w:rFonts w:ascii="Arial" w:cs="Arial" w:eastAsia="Arial" w:hAnsi="Arial"/>
          <w:sz w:val="20"/>
          <w:szCs w:val="20"/>
        </w:rPr>
        <w:t xml:space="preserve">La régression logistique estime des coefficients via la maximisation de la vraisemblance. Un client avec monthly_income = 15 000 € (vs médiane à 1 975 €) pèse 7,5 fois plus dans l'estimation. Cela signifie que ce cas atypique unique peut fortement biaiser les coefficients au détriment des 11 999 autres clients. Le capping neutralise cet effet.</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Les outliers en régression</w:t>
            </w:r>
          </w:p>
          <w:p>
            <w:pPr>
              <w:spacing w:after="20" w:before="20"/>
            </w:pPr>
            <w:r>
              <w:rPr>
                <w:rFonts w:ascii="Arial" w:cs="Arial" w:eastAsia="Arial" w:hAnsi="Arial"/>
                <w:i/>
                <w:iCs/>
                <w:color w:val="404040"/>
                <w:sz w:val="19"/>
                <w:szCs w:val="19"/>
              </w:rPr>
              <w:t xml:space="preserve">Vous calibrez une balance en pesant 100 objets. 99 pèsent entre 1 et 5 kg, et un pèse 500 kg. Si vous incluez le géant, votre calibration sera parfaite pour lui et fausse pour les 99 autres. Mieux vaut « plafonner » ce poids aberrant à 10 kg pour ne pas dérégler la balance.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7 — Variable Catégorielle : employment_status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calcule pour chaque modalité de employment_status le nombre de clients et le taux de défaut associé. Deux graphiques sont produits : taux de défaut par statut et volume de clients par statut.</w:t>
      </w:r>
    </w:p>
    <w:p>
      <w:pPr>
        <w:spacing w:after="0" w:before="80"/>
      </w:pPr>
    </w:p>
    <w:p>
      <w:pPr>
        <w:pStyle w:val="Heading3"/>
        <w:spacing w:after="60" w:before="200"/>
      </w:pPr>
      <w:r>
        <w:rPr>
          <w:rFonts w:ascii="Arial" w:cs="Arial" w:eastAsia="Arial" w:hAnsi="Arial"/>
          <w:b/>
          <w:bCs/>
          <w:color w:val="1F3864"/>
          <w:sz w:val="22"/>
          <w:szCs w:val="22"/>
        </w:rPr>
        <w:t xml:space="preserve">Résultats obtenus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Statut d'emploi</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 de défaut</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Interprétation</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Unemployed (sans emploi)</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36,94 %</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Risque 3,8x supérieur à la moyenne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Temporary (CDD)</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18,64 %</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Risque 1,4x supérieur à la moyenne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Self-employed (indépendant)</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~15 %</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Légèrement au-dessus de la moyenne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Retired (retraité)</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~12 %</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Proche de la moyenne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Permanent (CDI)</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9,62 %</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Risque le plus faible — référence</w:t>
            </w:r>
          </w:p>
        </w:tc>
      </w:tr>
    </w:tbl>
    <w:p>
      <w:pPr>
        <w:spacing w:after="0" w:before="80"/>
      </w:pPr>
    </w:p>
    <w:p>
      <w:pPr>
        <w:pStyle w:val="Heading3"/>
        <w:spacing w:after="60" w:before="200"/>
      </w:pPr>
      <w:r>
        <w:rPr>
          <w:rFonts w:ascii="Arial" w:cs="Arial" w:eastAsia="Arial" w:hAnsi="Arial"/>
          <w:b/>
          <w:bCs/>
          <w:color w:val="1F3864"/>
          <w:sz w:val="22"/>
          <w:szCs w:val="22"/>
        </w:rPr>
        <w:t xml:space="preserve">Pourquoi c'est un prédicteur majeur</w:t>
      </w:r>
    </w:p>
    <w:p>
      <w:pPr>
        <w:spacing w:after="80" w:before="60"/>
      </w:pPr>
      <w:r>
        <w:rPr>
          <w:rFonts w:ascii="Arial" w:cs="Arial" w:eastAsia="Arial" w:hAnsi="Arial"/>
          <w:sz w:val="20"/>
          <w:szCs w:val="20"/>
        </w:rPr>
        <w:t xml:space="preserve">L'écart de 27 points de pourcentage entre Unemployed (36,9%) et Permanent (9,6%) est considérable. Cette variable capture la stabilité des revenus futurs — un facteur central du risque de défaut. Elle sera encodée en One-Hot Encoding au Preprocessing (cf. Section 6 du Preprocessing).</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statut d'emploi</w:t>
            </w:r>
          </w:p>
          <w:p>
            <w:pPr>
              <w:spacing w:after="20" w:before="20"/>
            </w:pPr>
            <w:r>
              <w:rPr>
                <w:rFonts w:ascii="Arial" w:cs="Arial" w:eastAsia="Arial" w:hAnsi="Arial"/>
                <w:i/>
                <w:iCs/>
                <w:color w:val="404040"/>
                <w:sz w:val="19"/>
                <w:szCs w:val="19"/>
              </w:rPr>
              <w:t xml:space="preserve">Si vous devez décider de prêter de l'argent à quelqu'un, vous demandez naturellement : est-il en CDI, en CDD, ou au chômage ? Quelqu'un sans emploi aura du mal à rembourser chaque mois. Les données confirment exactement cette intuition : le risque est 4 fois plus élevé pour un chômeur que pour un CDI.</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8 — Matrice de Corrélation</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calcule la matrice de corrélation de Pearson entre toutes les variables numériques et la cible. Deux visualisations sont produites : la heatmap complète (triangle inférieur, pour éviter la redondance) et un barplot horizontal des corrélations individuelles avec default_12m.</w:t>
      </w:r>
    </w:p>
    <w:p>
      <w:pPr>
        <w:spacing w:after="0" w:before="80"/>
      </w:pPr>
    </w:p>
    <w:p>
      <w:pPr>
        <w:pStyle w:val="Heading3"/>
        <w:spacing w:after="60" w:before="200"/>
      </w:pPr>
      <w:r>
        <w:rPr>
          <w:rFonts w:ascii="Arial" w:cs="Arial" w:eastAsia="Arial" w:hAnsi="Arial"/>
          <w:b/>
          <w:bCs/>
          <w:color w:val="1F3864"/>
          <w:sz w:val="22"/>
          <w:szCs w:val="22"/>
        </w:rPr>
        <w:t xml:space="preserve">Résultats clés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Corrélation avec default_12m</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max_dpd_12m</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+0,38</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Facteur de risque (corrélation positive)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bureau_score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-0,38</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Facteur protecteur (corrélation négative)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utilization_rate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+0,29</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Facteur de risque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missed_payments_3m</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+0,25</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Facteur de risque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overdrawn_days_3m</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+0,24</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Facteur de risque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number_of_credit_inquiries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+ 0,21</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Facteur de risque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dti</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+0,20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Facteur de risque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salary_domiciliation</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-0,07</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Facteur protecteur (faible)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-0,10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Facteur protecteur</w:t>
            </w:r>
          </w:p>
        </w:tc>
      </w:tr>
    </w:tbl>
    <w:p>
      <w:pPr>
        <w:spacing w:after="0" w:before="80"/>
      </w:pPr>
    </w:p>
    <w:p>
      <w:pPr>
        <w:pStyle w:val="Heading3"/>
        <w:spacing w:after="60" w:before="200"/>
      </w:pPr>
      <w:r>
        <w:rPr>
          <w:rFonts w:ascii="Arial" w:cs="Arial" w:eastAsia="Arial" w:hAnsi="Arial"/>
          <w:b/>
          <w:bCs/>
          <w:color w:val="1F3864"/>
          <w:sz w:val="22"/>
          <w:szCs w:val="22"/>
        </w:rPr>
        <w:t xml:space="preserve">Point crucial : l'absence de multicolinéarité</w:t>
      </w:r>
    </w:p>
    <w:p>
      <w:pPr>
        <w:spacing w:after="80" w:before="60"/>
      </w:pPr>
      <w:r>
        <w:rPr>
          <w:rFonts w:ascii="Arial" w:cs="Arial" w:eastAsia="Arial" w:hAnsi="Arial"/>
          <w:sz w:val="20"/>
          <w:szCs w:val="20"/>
        </w:rPr>
        <w:t xml:space="preserve">La corrélation maximale entre deux </w:t>
      </w:r>
      <w:r>
        <w:rPr>
          <w:rFonts w:ascii="Arial" w:cs="Arial" w:eastAsia="Arial" w:hAnsi="Arial"/>
          <w:b/>
          <w:bCs/>
          <w:sz w:val="20"/>
          <w:szCs w:val="20"/>
        </w:rPr>
        <w:t xml:space="preserve">prédicteurs</w:t>
      </w:r>
      <w:r>
        <w:rPr>
          <w:rFonts w:ascii="Arial" w:cs="Arial" w:eastAsia="Arial" w:hAnsi="Arial"/>
          <w:sz w:val="20"/>
          <w:szCs w:val="20"/>
        </w:rPr>
        <w:t xml:space="preserve"> (et non avec la cible) est d'environ 0,37. Ce seuil est bien inférieur au seuil critique de 0,7-0,8 qui signalerait une multicolinéarité problématique. La multicolinéarité se produit quand deux variables prédictives contiennent pratiquement la même information — dans ce cas, inclure les deux déstabilise les coefficients du modèle.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Toutes les 10 variables explicatives peuvent être conservées</w:t>
            </w:r>
          </w:p>
          <w:p>
            <w:pPr>
              <w:spacing w:after="30" w:before="30"/>
            </w:pPr>
            <w:r>
              <w:rPr>
                <w:rFonts w:ascii="Arial" w:cs="Arial" w:eastAsia="Arial" w:hAnsi="Arial"/>
                <w:color w:val="375623"/>
                <w:sz w:val="19"/>
                <w:szCs w:val="19"/>
              </w:rPr>
              <w:t xml:space="preserve">→ Pas de risque que les coefficients du modèle soient instables ou non-interprétables</w:t>
            </w:r>
          </w:p>
          <w:p>
            <w:pPr>
              <w:spacing w:after="30" w:before="30"/>
            </w:pPr>
            <w:r>
              <w:rPr>
                <w:rFonts w:ascii="Arial" w:cs="Arial" w:eastAsia="Arial" w:hAnsi="Arial"/>
                <w:color w:val="375623"/>
                <w:sz w:val="19"/>
                <w:szCs w:val="19"/>
              </w:rPr>
              <w:t xml:space="preserve">→ Chaque variable apporte une information distincte et complémentaire</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multicolinéarité</w:t>
            </w:r>
          </w:p>
          <w:p>
            <w:pPr>
              <w:spacing w:after="20" w:before="20"/>
            </w:pPr>
            <w:r>
              <w:rPr>
                <w:rFonts w:ascii="Arial" w:cs="Arial" w:eastAsia="Arial" w:hAnsi="Arial"/>
                <w:i/>
                <w:iCs/>
                <w:color w:val="404040"/>
                <w:sz w:val="19"/>
                <w:szCs w:val="19"/>
              </w:rPr>
              <w:t xml:space="preserve">Si vous voulez prédire la vitesse d'un coureur et que vous mesurez « distance en km » ET « distance en miles », vous avez deux variables qui disent exactement la même chose. Le modèle sera confus pour attribuer un coefficient à chacune. Ici, nos variables mesurent des aspects différents du risque (comportement, capacité financière, statut pro) — pas de redondance.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9 — Analyse Bivariée par Tranches (Buckets)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Les variables continues sont découpées en tranches (buckets) et le taux de défaut moyen est calculé pour chaque tranche. Quatre variables sont analysées : bureau_score, dti, max_dpd_12m, utilization_rate.</w:t>
      </w:r>
    </w:p>
    <w:p>
      <w:pPr>
        <w:spacing w:after="0" w:before="80"/>
      </w:pPr>
    </w:p>
    <w:p>
      <w:pPr>
        <w:pStyle w:val="Heading3"/>
        <w:spacing w:after="60" w:before="200"/>
      </w:pPr>
      <w:r>
        <w:rPr>
          <w:rFonts w:ascii="Arial" w:cs="Arial" w:eastAsia="Arial" w:hAnsi="Arial"/>
          <w:b/>
          <w:bCs/>
          <w:color w:val="1F3864"/>
          <w:sz w:val="22"/>
          <w:szCs w:val="22"/>
        </w:rPr>
        <w:t xml:space="preserve">Exemple concret : bureau_score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Tranche de score</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 de défaut</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300–450 (très faible)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~40–50 %</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450–550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~25–30 %</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550–620</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~15–20 %</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620–680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~10–15 %</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680–730</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~8–10 %</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730–780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~5–7 %</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780–850 (excellent)</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~2–4 %</w:t>
            </w:r>
          </w:p>
        </w:tc>
      </w:tr>
    </w:tbl>
    <w:p>
      <w:pPr>
        <w:spacing w:after="0" w:before="80"/>
      </w:pPr>
    </w:p>
    <w:p>
      <w:pPr>
        <w:pStyle w:val="Heading3"/>
        <w:spacing w:after="60" w:before="200"/>
      </w:pPr>
      <w:r>
        <w:rPr>
          <w:rFonts w:ascii="Arial" w:cs="Arial" w:eastAsia="Arial" w:hAnsi="Arial"/>
          <w:b/>
          <w:bCs/>
          <w:color w:val="1F3864"/>
          <w:sz w:val="22"/>
          <w:szCs w:val="22"/>
        </w:rPr>
        <w:t xml:space="preserve">Pourquoi la monotonie est essentielle</w:t>
      </w:r>
    </w:p>
    <w:p>
      <w:pPr>
        <w:spacing w:after="80" w:before="60"/>
      </w:pPr>
      <w:r>
        <w:rPr>
          <w:rFonts w:ascii="Arial" w:cs="Arial" w:eastAsia="Arial" w:hAnsi="Arial"/>
          <w:sz w:val="20"/>
          <w:szCs w:val="20"/>
        </w:rPr>
        <w:t xml:space="preserve">La relation est parfaitement monotone : le taux de défaut baisse de façon continue et régulière à mesure que le score augmente. C'est un résultat fondamental pour deux raisons :</w:t>
      </w:r>
    </w:p>
    <w:p>
      <w:pPr>
        <w:pStyle w:val="ListParagraph"/>
        <w:numPr>
          <w:ilvl w:val="0"/>
          <w:numId w:val="2"/>
        </w:numPr>
        <w:spacing w:after="40" w:before="40"/>
      </w:pPr>
      <w:r>
        <w:rPr>
          <w:rFonts w:ascii="Arial" w:cs="Arial" w:eastAsia="Arial" w:hAnsi="Arial"/>
          <w:b/>
          <w:bCs/>
          <w:sz w:val="20"/>
          <w:szCs w:val="20"/>
        </w:rPr>
        <w:t xml:space="preserve">Validation de la cohérence des données</w:t>
      </w:r>
      <w:r>
        <w:rPr>
          <w:rFonts w:ascii="Arial" w:cs="Arial" w:eastAsia="Arial" w:hAnsi="Arial"/>
          <w:sz w:val="20"/>
          <w:szCs w:val="20"/>
        </w:rPr>
        <w:t xml:space="preserve"> : une relation non-monotone (ex. taux de défaut qui remonte pour les très hauts scores) signalerait une erreur de collecte ou de codage des données.</w:t>
      </w:r>
    </w:p>
    <w:p>
      <w:pPr>
        <w:pStyle w:val="ListParagraph"/>
        <w:numPr>
          <w:ilvl w:val="0"/>
          <w:numId w:val="2"/>
        </w:numPr>
        <w:spacing w:after="40" w:before="40"/>
      </w:pPr>
      <w:r>
        <w:rPr>
          <w:rFonts w:ascii="Arial" w:cs="Arial" w:eastAsia="Arial" w:hAnsi="Arial"/>
          <w:b/>
          <w:bCs/>
          <w:sz w:val="20"/>
          <w:szCs w:val="20"/>
        </w:rPr>
        <w:t xml:space="preserve">Possibilité future d'une Scorecard</w:t>
      </w:r>
      <w:r>
        <w:rPr>
          <w:rFonts w:ascii="Arial" w:cs="Arial" w:eastAsia="Arial" w:hAnsi="Arial"/>
          <w:sz w:val="20"/>
          <w:szCs w:val="20"/>
        </w:rPr>
        <w:t xml:space="preserve"> : les modèles réglementaires avancés (scorecard) reposent sur des relations monotones entre les tranches de variables et le risque. Nos données valident cette faisabilité.</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monotonie</w:t>
            </w:r>
          </w:p>
          <w:p>
            <w:pPr>
              <w:spacing w:after="20" w:before="20"/>
            </w:pPr>
            <w:r>
              <w:rPr>
                <w:rFonts w:ascii="Arial" w:cs="Arial" w:eastAsia="Arial" w:hAnsi="Arial"/>
                <w:i/>
                <w:iCs/>
                <w:color w:val="404040"/>
                <w:sz w:val="19"/>
                <w:szCs w:val="19"/>
              </w:rPr>
              <w:t xml:space="preserve">La vitesse d'une voiture et la consommation d'essence doivent avoir une relation monotone : plus on roule vite, plus on consomme. Si les données montraient une consommation qui diminue au-dessus de 150 km/h, on saurait qu'il y a une erreur de mesure. La monotonie est le test de cohérence physique des données.</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10 — Variable Binaire : salary_domiciliation</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compare le taux de défaut entre les clients qui domicilient leur salaire dans la banque (= 1) et ceux qui ne le font pas (= 0).</w:t>
      </w:r>
    </w:p>
    <w:p>
      <w:pPr>
        <w:spacing w:after="0" w:before="80"/>
      </w:pPr>
    </w:p>
    <w:p>
      <w:pPr>
        <w:pStyle w:val="Heading3"/>
        <w:spacing w:after="60" w:before="200"/>
      </w:pPr>
      <w:r>
        <w:rPr>
          <w:rFonts w:ascii="Arial" w:cs="Arial" w:eastAsia="Arial" w:hAnsi="Arial"/>
          <w:b/>
          <w:bCs/>
          <w:color w:val="1F3864"/>
          <w:sz w:val="22"/>
          <w:szCs w:val="22"/>
        </w:rPr>
        <w:t xml:space="preserve">Résultats obtenus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Statut</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 de défaut</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Non domicilié (0)</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16,08 %</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Domicilié (1)</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11,38 %</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Réduction du risque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~30 % en relatif</w:t>
            </w:r>
          </w:p>
        </w:tc>
      </w:tr>
    </w:tbl>
    <w:p>
      <w:pPr>
        <w:spacing w:after="0" w:before="80"/>
      </w:pPr>
    </w:p>
    <w:p>
      <w:pPr>
        <w:pStyle w:val="Heading3"/>
        <w:spacing w:after="60" w:before="200"/>
      </w:pPr>
      <w:r>
        <w:rPr>
          <w:rFonts w:ascii="Arial" w:cs="Arial" w:eastAsia="Arial" w:hAnsi="Arial"/>
          <w:b/>
          <w:bCs/>
          <w:color w:val="1F3864"/>
          <w:sz w:val="22"/>
          <w:szCs w:val="22"/>
        </w:rPr>
        <w:t xml:space="preserve">Pourquoi la domiciliation réduit le risque</w:t>
      </w:r>
    </w:p>
    <w:p>
      <w:pPr>
        <w:spacing w:after="80" w:before="60"/>
      </w:pPr>
      <w:r>
        <w:rPr>
          <w:rFonts w:ascii="Arial" w:cs="Arial" w:eastAsia="Arial" w:hAnsi="Arial"/>
          <w:sz w:val="20"/>
          <w:szCs w:val="20"/>
        </w:rPr>
        <w:t xml:space="preserve">Quand un client domicilie son salaire, la banque voit ses entrées d'argent chaque mois. Elle peut donc détecter très tôt une baisse de revenus (et potentiellement contacter le client). De plus, le client a un lien fort avec la banque, ce qui réduit le risque d'abandon. C'est pourquoi cette variable, bien que de faible corrélation linéaire (-0,07), a une vraie justification économique méritant d'être conservée dans le modèle.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domiciliation du salaire</w:t>
            </w:r>
          </w:p>
          <w:p>
            <w:pPr>
              <w:spacing w:after="20" w:before="20"/>
            </w:pPr>
            <w:r>
              <w:rPr>
                <w:rFonts w:ascii="Arial" w:cs="Arial" w:eastAsia="Arial" w:hAnsi="Arial"/>
                <w:i/>
                <w:iCs/>
                <w:color w:val="404040"/>
                <w:sz w:val="19"/>
                <w:szCs w:val="19"/>
              </w:rPr>
              <w:t xml:space="preserve">C'est comme louer un appartement à quelqu'un qui vous donne accès à son compte bancaire pour vérifier ses revenus chaque mois. Vous pouvez voir s'il a été payé, anticiper les difficultés, et ce locataire sait qu'il ne peut pas vous cacher ses problèmes — il sera naturellement plus rigoureux dans ses paiements.</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Section 11 — Synthèse EDA : Ce qu'on emporte pour la modélisation</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Constat EDA</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Décision Preprocessing / Modélisation</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bureau_score et monthly_income ont des valeurs manquantes (&lt;4%)</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Imputation par la médiane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monthly_income très asymétrique (skewness 2,39), outliers extrêmes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Capping au 99e centile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Aucune multicolinéarité sévère entre prédicteurs (max 0,37)</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Toutes les 10 variables conservées</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employment_status : fort écart de risque entre modalités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One-Hot Encoding (OHE)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Taux de défaut 13,37% — déséquilibre modéré</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class_weight='balanced' dans sklearn</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Relations monotones bureau_score, dti, dpd, utilization</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Possibilité future de scorecard</w:t>
            </w:r>
          </w:p>
        </w:tc>
      </w:tr>
    </w:tbl>
    <w:p>
      <w:pPr>
        <w:spacing w:after="0" w:before="80"/>
      </w:pPr>
    </w:p>
    <w:p>
      <w:r>
        <w:br w:type="page"/>
      </w:r>
    </w:p>
    <w:p>
      <w:pPr>
        <w:pStyle w:val="Heading1"/>
        <w:pBdr>
          <w:bottom w:val="single" w:color="C55A11" w:sz="4" w:space="4"/>
        </w:pBdr>
        <w:shd w:fill="1F3864" w:val="clear"/>
        <w:spacing w:after="120" w:before="360"/>
        <w:ind w:left="200" w:right="200"/>
      </w:pPr>
      <w:r>
        <w:rPr>
          <w:rFonts w:ascii="Arial" w:cs="Arial" w:eastAsia="Arial" w:hAnsi="Arial"/>
          <w:b/>
          <w:bCs/>
          <w:color w:val="FFFFFF"/>
          <w:sz w:val="30"/>
          <w:szCs w:val="30"/>
        </w:rPr>
        <w:t xml:space="preserve">PARTIE 2 — Préparation des Données (Preprocessing)</w:t>
      </w:r>
    </w:p>
    <w:p>
      <w:pPr>
        <w:spacing w:after="0" w:before="80"/>
      </w:pPr>
    </w:p>
    <w:p>
      <w:pPr>
        <w:spacing w:after="80" w:before="60"/>
      </w:pPr>
      <w:r>
        <w:rPr>
          <w:rFonts w:ascii="Arial" w:cs="Arial" w:eastAsia="Arial" w:hAnsi="Arial"/>
          <w:sz w:val="20"/>
          <w:szCs w:val="20"/>
        </w:rPr>
        <w:t xml:space="preserve">Le Preprocessing transforme les données brutes — telles qu'elles sortent de la base opérationnelle — en un dataset « modélisable » : propre, standardisé, sans informations parasites, et divisé correctement entre apprentissage et évaluation. Chaque transformation répond à une nécessité technique ou statistique précise.</w:t>
      </w:r>
    </w:p>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Étape 0 — Imports Supplémentaires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Cette cellule charge les outils spécifiques au Preprocessing : train_test_split (division train/test), StandardScaler (normalisation), et joblib (sauvegarde des objets Python). Elle crée également le dossier models/ si inexistant.</w:t>
      </w:r>
    </w:p>
    <w:p>
      <w:pPr>
        <w:spacing w:after="0" w:before="80"/>
      </w:pPr>
    </w:p>
    <w:p>
      <w:pPr>
        <w:pStyle w:val="Heading3"/>
        <w:spacing w:after="60" w:before="200"/>
      </w:pPr>
      <w:r>
        <w:rPr>
          <w:rFonts w:ascii="Arial" w:cs="Arial" w:eastAsia="Arial" w:hAnsi="Arial"/>
          <w:b/>
          <w:bCs/>
          <w:color w:val="1F3864"/>
          <w:sz w:val="22"/>
          <w:szCs w:val="22"/>
        </w:rPr>
        <w:t xml:space="preserve">Pourquoi joblib est crucial</w:t>
      </w:r>
    </w:p>
    <w:p>
      <w:pPr>
        <w:spacing w:after="80" w:before="60"/>
      </w:pPr>
      <w:r>
        <w:rPr>
          <w:rFonts w:ascii="Arial" w:cs="Arial" w:eastAsia="Arial" w:hAnsi="Arial"/>
          <w:sz w:val="20"/>
          <w:szCs w:val="20"/>
        </w:rPr>
        <w:t xml:space="preserve">joblib.dump() sauvegarde les paramètres appris (médianes, seuils de capping, scaler) dans des fichiers .pkl. En production, quand un nouveau client arrive, on ne peut pas recalculer ces paramètres depuis zéro — on doit appliquer exactement les mêmes transformations qu'à l'entraînement. Joblib garantit cette cohérence du pipeline.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sauvegarde avec joblib</w:t>
            </w:r>
          </w:p>
          <w:p>
            <w:pPr>
              <w:spacing w:after="20" w:before="20"/>
            </w:pPr>
            <w:r>
              <w:rPr>
                <w:rFonts w:ascii="Arial" w:cs="Arial" w:eastAsia="Arial" w:hAnsi="Arial"/>
                <w:i/>
                <w:iCs/>
                <w:color w:val="404040"/>
                <w:sz w:val="19"/>
                <w:szCs w:val="19"/>
              </w:rPr>
              <w:t xml:space="preserve">Un chef pâtissier note sa recette exacte (200g de farine, 3 œufs, four à 180°C) et la plastifie. Un an plus tard, son apprenti peut reproduire le gâteau identique. Sans la recette notée, l'apprenti devrait deviner les proportions — et obtiendrait un gâteau différent. C'est exactement ce que fait joblib : noter la 'recette' de transformation pour une utilisation future identique.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1 — Copie de Sécurité du Dataset Original</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recharge le fichier Excel original et crée deux objets distincts : df_raw (jamais modifié) et df_prep (copie de travail sur laquelle toutes les transformations s'appliquent).</w:t>
      </w:r>
    </w:p>
    <w:p>
      <w:pPr>
        <w:spacing w:after="0" w:before="80"/>
      </w:pPr>
    </w:p>
    <w:p>
      <w:pPr>
        <w:pStyle w:val="Heading3"/>
        <w:spacing w:after="60" w:before="200"/>
      </w:pPr>
      <w:r>
        <w:rPr>
          <w:rFonts w:ascii="Arial" w:cs="Arial" w:eastAsia="Arial" w:hAnsi="Arial"/>
          <w:b/>
          <w:bCs/>
          <w:color w:val="1F3864"/>
          <w:sz w:val="22"/>
          <w:szCs w:val="22"/>
        </w:rPr>
        <w:t xml:space="preserve">Pourquoi séparer df_raw et df_prep</w:t>
      </w:r>
    </w:p>
    <w:p>
      <w:pPr>
        <w:spacing w:after="80" w:before="60"/>
      </w:pPr>
      <w:r>
        <w:rPr>
          <w:rFonts w:ascii="Arial" w:cs="Arial" w:eastAsia="Arial" w:hAnsi="Arial"/>
          <w:sz w:val="20"/>
          <w:szCs w:val="20"/>
        </w:rPr>
        <w:t xml:space="preserve">Cette séparation garantit la traçabilité et la réversibilité. Si une transformation produit un résultat inattendu, on peut comparer df_prep à df_raw pour identifier exactement à quelle étape le problème s'est introduit. Sans cette copie, toute erreur serait irréversible.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df_raw : état brut, non modifié, référence permanente</w:t>
            </w:r>
          </w:p>
          <w:p>
            <w:pPr>
              <w:spacing w:after="30" w:before="30"/>
            </w:pPr>
            <w:r>
              <w:rPr>
                <w:rFonts w:ascii="Arial" w:cs="Arial" w:eastAsia="Arial" w:hAnsi="Arial"/>
                <w:color w:val="375623"/>
                <w:sz w:val="19"/>
                <w:szCs w:val="19"/>
              </w:rPr>
              <w:t xml:space="preserve">→ df_prep : copie de travail, toutes transformations appliquées ici</w:t>
            </w:r>
          </w:p>
          <w:p>
            <w:pPr>
              <w:spacing w:after="30" w:before="30"/>
            </w:pPr>
            <w:r>
              <w:rPr>
                <w:rFonts w:ascii="Arial" w:cs="Arial" w:eastAsia="Arial" w:hAnsi="Arial"/>
                <w:color w:val="375623"/>
                <w:sz w:val="19"/>
                <w:szCs w:val="19"/>
              </w:rPr>
              <w:t xml:space="preserve">→ df_raw.pkl sauvegardé en fin de pipeline pour auditabilité IFRS 9</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copie de sécurité</w:t>
            </w:r>
          </w:p>
          <w:p>
            <w:pPr>
              <w:spacing w:after="20" w:before="20"/>
            </w:pPr>
            <w:r>
              <w:rPr>
                <w:rFonts w:ascii="Arial" w:cs="Arial" w:eastAsia="Arial" w:hAnsi="Arial"/>
                <w:i/>
                <w:iCs/>
                <w:color w:val="404040"/>
                <w:sz w:val="19"/>
                <w:szCs w:val="19"/>
              </w:rPr>
              <w:t xml:space="preserve">Avant de colorier un dessin, vous le photocopiez. Si vous faites une erreur de couleur, vous revenez à la photocopie. Un chirurgien garde les scans d'avant l'opération. Un comptable garde les données brutes avant ajustements. C'est une bonne pratique universelle : ne jamais travailler sur l'original.</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2 — Suppression de l'Identifiant Client (customer_id)</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Une seule ligne : df_prep.drop(columns=['customer_id']). La colonne customer_id est supprimée définitivement du dataset de travail.</w:t>
      </w:r>
    </w:p>
    <w:p>
      <w:pPr>
        <w:spacing w:after="0" w:before="80"/>
      </w:pPr>
    </w:p>
    <w:p>
      <w:pPr>
        <w:pStyle w:val="Heading3"/>
        <w:spacing w:after="60" w:before="200"/>
      </w:pPr>
      <w:r>
        <w:rPr>
          <w:rFonts w:ascii="Arial" w:cs="Arial" w:eastAsia="Arial" w:hAnsi="Arial"/>
          <w:b/>
          <w:bCs/>
          <w:color w:val="1F3864"/>
          <w:sz w:val="22"/>
          <w:szCs w:val="22"/>
        </w:rPr>
        <w:t xml:space="preserve">Pourquoi supprimer un identifiant — Concept d'overfitting</w:t>
      </w:r>
    </w:p>
    <w:p>
      <w:pPr>
        <w:spacing w:after="80" w:before="60"/>
      </w:pPr>
      <w:r>
        <w:rPr>
          <w:rFonts w:ascii="Arial" w:cs="Arial" w:eastAsia="Arial" w:hAnsi="Arial"/>
          <w:sz w:val="20"/>
          <w:szCs w:val="20"/>
        </w:rPr>
        <w:t xml:space="preserve">Un identifiant comme customer_id est un numéro arbitraire attribué à chaque client (ex. 1001, 1002, 1003...). Il n'existe aucune relation économique entre ce numéro et le risque de défaut — c'est juste un compteur.</w:t>
      </w:r>
    </w:p>
    <w:p>
      <w:pPr>
        <w:spacing w:after="80" w:before="60"/>
      </w:pPr>
      <w:r>
        <w:rPr>
          <w:rFonts w:ascii="Arial" w:cs="Arial" w:eastAsia="Arial" w:hAnsi="Arial"/>
          <w:sz w:val="20"/>
          <w:szCs w:val="20"/>
        </w:rPr>
        <w:t xml:space="preserve">Si on laisse customer_id dans le modèle, la régression logistique va tenter de trouver un coefficient pour cette variable. Comme chaque client a un ID unique, le modèle peut « mémoriser » qu'un certain ID correspond à un défaut — mais ce pattern ne se généralisera JAMAIS à un nouveau client qui aura un ID différent. C'est l'overfitting : le modèle apprend par cœur le train, mais échoue sur le test.</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L'overfitting par l'identifiant</w:t>
            </w:r>
          </w:p>
          <w:p>
            <w:pPr>
              <w:spacing w:after="20" w:before="20"/>
            </w:pPr>
            <w:r>
              <w:rPr>
                <w:rFonts w:ascii="Arial" w:cs="Arial" w:eastAsia="Arial" w:hAnsi="Arial"/>
                <w:i/>
                <w:iCs/>
                <w:color w:val="404040"/>
                <w:sz w:val="19"/>
                <w:szCs w:val="19"/>
              </w:rPr>
              <w:t xml:space="preserve">Imaginez apprendre à reconnaître des chats en mémorisant les noms des chats de votre voisinage : 'Minou est un chat, Felix est un chat'. Si on vous montre un nouveau chat nommé 'Kitty', vous ne savez pas si c'est un chat — vous n'avez mémorisé que des noms, pas les caractéristiques (4 pattes, moustaches, miaule). Le customer_id, c'est le nom du chat : inutile pour généraliser.</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3 — Imputation des Valeurs Manquantes par la Médiane</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code calcule la médiane de bureau_score et monthly_income sur l'ensemble du dataset (avant split train/test), remplace les valeurs NaN par ces médianes, et sauvegarde les valeurs calculées dans imputation_medians.pkl.</w:t>
      </w:r>
    </w:p>
    <w:p>
      <w:pPr>
        <w:spacing w:after="0" w:before="80"/>
      </w:pPr>
    </w:p>
    <w:p>
      <w:pPr>
        <w:pStyle w:val="Heading3"/>
        <w:spacing w:after="60" w:before="200"/>
      </w:pPr>
      <w:r>
        <w:rPr>
          <w:rFonts w:ascii="Arial" w:cs="Arial" w:eastAsia="Arial" w:hAnsi="Arial"/>
          <w:b/>
          <w:bCs/>
          <w:color w:val="1F3864"/>
          <w:sz w:val="22"/>
          <w:szCs w:val="22"/>
        </w:rPr>
        <w:t xml:space="preserve">Pourquoi la médiane plutôt que la moyenne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Critère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Médiane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Moyenne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Robustesse aux outliers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Non affectée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 Tirée vers les extrêmes</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Représentativité</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Valeur centrale réelle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Faussée si skewness élevé</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Pour monthly_income (skew=2,39)</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1 975 € (correct)</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2 229 € (surestimé)</w:t>
            </w:r>
          </w:p>
        </w:tc>
      </w:tr>
    </w:tbl>
    <w:p>
      <w:pPr>
        <w:spacing w:after="0" w:before="80"/>
      </w:pPr>
    </w:p>
    <w:p>
      <w:pPr>
        <w:pStyle w:val="Heading3"/>
        <w:spacing w:after="60" w:before="200"/>
      </w:pPr>
      <w:r>
        <w:rPr>
          <w:rFonts w:ascii="Arial" w:cs="Arial" w:eastAsia="Arial" w:hAnsi="Arial"/>
          <w:b/>
          <w:bCs/>
          <w:color w:val="1F3864"/>
          <w:sz w:val="22"/>
          <w:szCs w:val="22"/>
        </w:rPr>
        <w:t xml:space="preserve">Règle fondamentale : calculer la médiane AVANT le split</w:t>
      </w:r>
    </w:p>
    <w:p>
      <w:pPr>
        <w:spacing w:after="80" w:before="60"/>
      </w:pPr>
      <w:r>
        <w:rPr>
          <w:rFonts w:ascii="Arial" w:cs="Arial" w:eastAsia="Arial" w:hAnsi="Arial"/>
          <w:sz w:val="20"/>
          <w:szCs w:val="20"/>
        </w:rPr>
        <w:t xml:space="preserve">La médiane doit être calculée sur l'ensemble du dataset AVANT la division train/test. C'est la seule exception à la règle anti-leakage (cf. Étape 7) car les valeurs manquantes font partie du dataset d'origine. Si on calculait la médiane uniquement sur le train, on n'aurait pas suffisamment de données pour une médiane représentative.</w:t>
      </w:r>
    </w:p>
    <w:p>
      <w:pPr>
        <w:spacing w:after="0" w:before="80"/>
      </w:pPr>
    </w:p>
    <w:p>
      <w:pPr>
        <w:pStyle w:val="Heading3"/>
        <w:spacing w:after="60" w:before="200"/>
      </w:pPr>
      <w:r>
        <w:rPr>
          <w:rFonts w:ascii="Arial" w:cs="Arial" w:eastAsia="Arial" w:hAnsi="Arial"/>
          <w:b/>
          <w:bCs/>
          <w:color w:val="1F3864"/>
          <w:sz w:val="22"/>
          <w:szCs w:val="22"/>
        </w:rPr>
        <w:t xml:space="preserve">Pourquoi sauvegarder les médianes</w:t>
      </w:r>
    </w:p>
    <w:p>
      <w:pPr>
        <w:spacing w:after="80" w:before="60"/>
      </w:pPr>
      <w:r>
        <w:rPr>
          <w:rFonts w:ascii="Arial" w:cs="Arial" w:eastAsia="Arial" w:hAnsi="Arial"/>
          <w:sz w:val="20"/>
          <w:szCs w:val="20"/>
        </w:rPr>
        <w:t xml:space="preserve">En production, un nouveau client peut arriver sans bureau_score (ex. première demande de crédit, pas encore dans les fichiers du bureau). On doit lui imputer la même médiane qu'à l'entraînement — ni plus ni moins — pour que la prédiction soit cohérente.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Médiane bureau_score = 652 points</w:t>
            </w:r>
          </w:p>
          <w:p>
            <w:pPr>
              <w:spacing w:after="30" w:before="30"/>
            </w:pPr>
            <w:r>
              <w:rPr>
                <w:rFonts w:ascii="Arial" w:cs="Arial" w:eastAsia="Arial" w:hAnsi="Arial"/>
                <w:color w:val="375623"/>
                <w:sz w:val="19"/>
                <w:szCs w:val="19"/>
              </w:rPr>
              <w:t xml:space="preserve">→ Médiane monthly_income = 1 975 €</w:t>
            </w:r>
          </w:p>
          <w:p>
            <w:pPr>
              <w:spacing w:after="30" w:before="30"/>
            </w:pPr>
            <w:r>
              <w:rPr>
                <w:rFonts w:ascii="Arial" w:cs="Arial" w:eastAsia="Arial" w:hAnsi="Arial"/>
                <w:color w:val="375623"/>
                <w:sz w:val="19"/>
                <w:szCs w:val="19"/>
              </w:rPr>
              <w:t xml:space="preserve">→ Sauvegardé dans models/imputation_medians.pkl pour la production</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L'imputation</w:t>
            </w:r>
          </w:p>
          <w:p>
            <w:pPr>
              <w:spacing w:after="20" w:before="20"/>
            </w:pPr>
            <w:r>
              <w:rPr>
                <w:rFonts w:ascii="Arial" w:cs="Arial" w:eastAsia="Arial" w:hAnsi="Arial"/>
                <w:i/>
                <w:iCs/>
                <w:color w:val="404040"/>
                <w:sz w:val="19"/>
                <w:szCs w:val="19"/>
              </w:rPr>
              <w:t xml:space="preserve">Un médecin examine 12 000 patients mais 300 n'ont pas de test de glycémie. Plutôt que d'exclure ces 300 patients de l'étude (on perd de l'information), il leur attribue la glycémie médiane de la population étudiée — une valeur typique et raisonnable, non faussée par les diabétiques extrêmes.</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4 — Capping au 99e Centile (Winsorization)</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Pour monthly_income, dti et utilization_rate, le code calcule le 99e centile et remplace toute valeur supérieure par ce seuil. Un graphique avant/après illustre l'impact sur la distribution de monthly_income.</w:t>
      </w:r>
    </w:p>
    <w:p>
      <w:pPr>
        <w:spacing w:after="0" w:before="80"/>
      </w:pPr>
    </w:p>
    <w:p>
      <w:pPr>
        <w:pStyle w:val="Heading3"/>
        <w:spacing w:after="60" w:before="200"/>
      </w:pPr>
      <w:r>
        <w:rPr>
          <w:rFonts w:ascii="Arial" w:cs="Arial" w:eastAsia="Arial" w:hAnsi="Arial"/>
          <w:b/>
          <w:bCs/>
          <w:color w:val="1F3864"/>
          <w:sz w:val="22"/>
          <w:szCs w:val="22"/>
        </w:rPr>
        <w:t xml:space="preserve">Résultats du capping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tblHeader/>
        </w:trP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Max avant capping</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Seuil P99 (après)</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Outliers neutralisés</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15 000 €</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7 037 €</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~120 obs. (1%)</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dti</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&gt; 1,5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0,99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~120 obs. (1%)</w:t>
            </w:r>
          </w:p>
        </w:tc>
      </w:tr>
      <w:tr>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utilization_rate</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&gt; 1,0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1,05</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~120 obs. (1%)</w:t>
            </w:r>
          </w:p>
        </w:tc>
      </w:tr>
    </w:tbl>
    <w:p>
      <w:pPr>
        <w:spacing w:after="0" w:before="80"/>
      </w:pPr>
    </w:p>
    <w:p>
      <w:pPr>
        <w:pStyle w:val="Heading3"/>
        <w:spacing w:after="60" w:before="200"/>
      </w:pPr>
      <w:r>
        <w:rPr>
          <w:rFonts w:ascii="Arial" w:cs="Arial" w:eastAsia="Arial" w:hAnsi="Arial"/>
          <w:b/>
          <w:bCs/>
          <w:color w:val="1F3864"/>
          <w:sz w:val="22"/>
          <w:szCs w:val="22"/>
        </w:rPr>
        <w:t xml:space="preserve">Pourquoi le 99e centile spécifiquement</w:t>
      </w:r>
    </w:p>
    <w:p>
      <w:pPr>
        <w:spacing w:after="80" w:before="60"/>
      </w:pPr>
      <w:r>
        <w:rPr>
          <w:rFonts w:ascii="Arial" w:cs="Arial" w:eastAsia="Arial" w:hAnsi="Arial"/>
          <w:sz w:val="20"/>
          <w:szCs w:val="20"/>
        </w:rPr>
        <w:t xml:space="preserve">Le choix du percentile est un arbitrage entre trois risques :</w:t>
      </w:r>
    </w:p>
    <w:p>
      <w:pPr>
        <w:pStyle w:val="ListParagraph"/>
        <w:numPr>
          <w:ilvl w:val="0"/>
          <w:numId w:val="2"/>
        </w:numPr>
        <w:spacing w:after="40" w:before="40"/>
      </w:pPr>
      <w:r>
        <w:rPr>
          <w:rFonts w:ascii="Arial" w:cs="Arial" w:eastAsia="Arial" w:hAnsi="Arial"/>
          <w:b/>
          <w:bCs/>
          <w:sz w:val="20"/>
          <w:szCs w:val="20"/>
        </w:rPr>
        <w:t xml:space="preserve">P95 (trop agressif)</w:t>
      </w:r>
      <w:r>
        <w:rPr>
          <w:rFonts w:ascii="Arial" w:cs="Arial" w:eastAsia="Arial" w:hAnsi="Arial"/>
          <w:sz w:val="20"/>
          <w:szCs w:val="20"/>
        </w:rPr>
        <w:t xml:space="preserve"> : on plafonne 5% des données — on perd de l'information réelle sur les hauts revenus légitimes.</w:t>
      </w:r>
    </w:p>
    <w:p>
      <w:pPr>
        <w:pStyle w:val="ListParagraph"/>
        <w:numPr>
          <w:ilvl w:val="0"/>
          <w:numId w:val="2"/>
        </w:numPr>
        <w:spacing w:after="40" w:before="40"/>
      </w:pPr>
      <w:r>
        <w:rPr>
          <w:rFonts w:ascii="Arial" w:cs="Arial" w:eastAsia="Arial" w:hAnsi="Arial"/>
          <w:b/>
          <w:bCs/>
          <w:sz w:val="20"/>
          <w:szCs w:val="20"/>
        </w:rPr>
        <w:t xml:space="preserve">P99 (standard)</w:t>
      </w:r>
      <w:r>
        <w:rPr>
          <w:rFonts w:ascii="Arial" w:cs="Arial" w:eastAsia="Arial" w:hAnsi="Arial"/>
          <w:sz w:val="20"/>
          <w:szCs w:val="20"/>
        </w:rPr>
        <w:t xml:space="preserve"> : on plafonne seulement 1% — uniquement les valeurs vraiment aberrantes, sans déformer le reste de la distribution.</w:t>
      </w:r>
    </w:p>
    <w:p>
      <w:pPr>
        <w:pStyle w:val="ListParagraph"/>
        <w:numPr>
          <w:ilvl w:val="0"/>
          <w:numId w:val="2"/>
        </w:numPr>
        <w:spacing w:after="40" w:before="40"/>
      </w:pPr>
      <w:r>
        <w:rPr>
          <w:rFonts w:ascii="Arial" w:cs="Arial" w:eastAsia="Arial" w:hAnsi="Arial"/>
          <w:b/>
          <w:bCs/>
          <w:sz w:val="20"/>
          <w:szCs w:val="20"/>
        </w:rPr>
        <w:t xml:space="preserve">Pas de capping (trop laxiste)</w:t>
      </w:r>
      <w:r>
        <w:rPr>
          <w:rFonts w:ascii="Arial" w:cs="Arial" w:eastAsia="Arial" w:hAnsi="Arial"/>
          <w:sz w:val="20"/>
          <w:szCs w:val="20"/>
        </w:rPr>
        <w:t xml:space="preserve"> : les coefficients de la régression sont biaisés par ces valeurs extrêmes — le modèle apprend des règles qui ne s'appliquent qu'à 1% des clients.</w:t>
      </w:r>
    </w:p>
    <w:p>
      <w:pPr>
        <w:spacing w:after="80" w:before="60"/>
      </w:pPr>
      <w:r>
        <w:rPr>
          <w:rFonts w:ascii="Arial" w:cs="Arial" w:eastAsia="Arial" w:hAnsi="Arial"/>
          <w:sz w:val="20"/>
          <w:szCs w:val="20"/>
        </w:rPr>
        <w:t xml:space="preserve">Le P99 est le standard de l'industrie du crédit scoring (Bâle II recommend des seuils similaires dans les guidelines de validation des modèles internes).</w:t>
      </w:r>
    </w:p>
    <w:p>
      <w:pPr>
        <w:spacing w:after="0" w:before="80"/>
      </w:pPr>
    </w:p>
    <w:p>
      <w:pPr>
        <w:pStyle w:val="Heading3"/>
        <w:spacing w:after="60" w:before="200"/>
      </w:pPr>
      <w:r>
        <w:rPr>
          <w:rFonts w:ascii="Arial" w:cs="Arial" w:eastAsia="Arial" w:hAnsi="Arial"/>
          <w:b/>
          <w:bCs/>
          <w:color w:val="1F3864"/>
          <w:sz w:val="22"/>
          <w:szCs w:val="22"/>
        </w:rPr>
        <w:t xml:space="preserve">Pourquoi sauvegarder les seuils</w:t>
      </w:r>
    </w:p>
    <w:p>
      <w:pPr>
        <w:spacing w:after="80" w:before="60"/>
      </w:pPr>
      <w:r>
        <w:rPr>
          <w:rFonts w:ascii="Arial" w:cs="Arial" w:eastAsia="Arial" w:hAnsi="Arial"/>
          <w:sz w:val="20"/>
          <w:szCs w:val="20"/>
        </w:rPr>
        <w:t xml:space="preserve">En production, si un nouveau client déclare 20 000 € de revenu mensuel, on doit appliquer le même cap de 7 037 € qu'à l'entraînement — sinon la prédiction sera incohérente avec ce que le modèle a appris.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capping</w:t>
            </w:r>
          </w:p>
          <w:p>
            <w:pPr>
              <w:spacing w:after="20" w:before="20"/>
            </w:pPr>
            <w:r>
              <w:rPr>
                <w:rFonts w:ascii="Arial" w:cs="Arial" w:eastAsia="Arial" w:hAnsi="Arial"/>
                <w:i/>
                <w:iCs/>
                <w:color w:val="404040"/>
                <w:sz w:val="19"/>
                <w:szCs w:val="19"/>
              </w:rPr>
              <w:t xml:space="preserve">Un thermostat est calibré entre -10°C et +40°C. Si la sonde capte 150°C (un court-circuit), on ne recalibre pas tout le système — on plafonne la lecture à 40°C. Le capping fait la même chose : pour un revenu de 15 000 € (potentielle erreur de saisie ou cas ultra-atypique), on dit 'on traite ça comme 7 037 €', soit le revenu du 99e percentile.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5 — Feature Engineering (Création de Nouvelles Variables)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Deux nouvelles variables sont créées par combinaison arithmétique des variables existantes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Nouvelle 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Formule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Corrélation avec défaut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dti_x_utilization</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dti × utilization_rate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+0,344</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recent_stress_score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missed_payments_3m + overdrawn_days_3m</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+0,272</w:t>
            </w:r>
          </w:p>
        </w:tc>
      </w:tr>
    </w:tbl>
    <w:p>
      <w:pPr>
        <w:spacing w:after="0" w:before="80"/>
      </w:pPr>
    </w:p>
    <w:p>
      <w:pPr>
        <w:pStyle w:val="Heading3"/>
        <w:spacing w:after="60" w:before="200"/>
      </w:pPr>
      <w:r>
        <w:rPr>
          <w:rFonts w:ascii="Arial" w:cs="Arial" w:eastAsia="Arial" w:hAnsi="Arial"/>
          <w:b/>
          <w:bCs/>
          <w:color w:val="1F3864"/>
          <w:sz w:val="22"/>
          <w:szCs w:val="22"/>
        </w:rPr>
        <w:t xml:space="preserve">Pourquoi créer dti_x_utilization</w:t>
      </w:r>
    </w:p>
    <w:p>
      <w:pPr>
        <w:spacing w:after="80" w:before="60"/>
      </w:pPr>
      <w:r>
        <w:rPr>
          <w:rFonts w:ascii="Arial" w:cs="Arial" w:eastAsia="Arial" w:hAnsi="Arial"/>
          <w:sz w:val="20"/>
          <w:szCs w:val="20"/>
        </w:rPr>
        <w:t xml:space="preserve">Ce produit capture une interaction : un client avec DTI = 0,8 ET utilization_rate = 0,9 n'est pas simplement « très endetté » et « très utilisé » — il est doublement sous pression. La multiplication amplifie les deux signaux simultanément et leur corrélation combinée (+0,344) dépasse celle de dti seul (+0,198) et de utilization_rate seul (+0,285), validant la valeur ajoutée de cette interaction.</w:t>
      </w:r>
    </w:p>
    <w:p>
      <w:pPr>
        <w:spacing w:after="0" w:before="80"/>
      </w:pPr>
    </w:p>
    <w:p>
      <w:pPr>
        <w:pStyle w:val="Heading3"/>
        <w:spacing w:after="60" w:before="200"/>
      </w:pPr>
      <w:r>
        <w:rPr>
          <w:rFonts w:ascii="Arial" w:cs="Arial" w:eastAsia="Arial" w:hAnsi="Arial"/>
          <w:b/>
          <w:bCs/>
          <w:color w:val="1F3864"/>
          <w:sz w:val="22"/>
          <w:szCs w:val="22"/>
        </w:rPr>
        <w:t xml:space="preserve">Pourquoi créer recent_stress_score</w:t>
      </w:r>
    </w:p>
    <w:p>
      <w:pPr>
        <w:spacing w:after="80" w:before="60"/>
      </w:pPr>
      <w:r>
        <w:rPr>
          <w:rFonts w:ascii="Arial" w:cs="Arial" w:eastAsia="Arial" w:hAnsi="Arial"/>
          <w:sz w:val="20"/>
          <w:szCs w:val="20"/>
        </w:rPr>
        <w:t xml:space="preserve">Les deux variables missed_payments_3m et overdrawn_days_3m mesurent deux faces de la même réalité : la détresse financière à court terme. Leur somme crée un indicateur composite de « niveau de stress récent » plus robuste que chaque variable isolée car il est moins sensible au bruit dans chaque composante individuelle.</w:t>
      </w:r>
    </w:p>
    <w:p>
      <w:pPr>
        <w:spacing w:after="0" w:before="80"/>
      </w:pPr>
    </w:p>
    <w:p>
      <w:pPr>
        <w:pStyle w:val="Heading3"/>
        <w:spacing w:after="60" w:before="200"/>
      </w:pPr>
      <w:r>
        <w:rPr>
          <w:rFonts w:ascii="Arial" w:cs="Arial" w:eastAsia="Arial" w:hAnsi="Arial"/>
          <w:b/>
          <w:bCs/>
          <w:color w:val="1F3864"/>
          <w:sz w:val="22"/>
          <w:szCs w:val="22"/>
        </w:rPr>
        <w:t xml:space="preserve">Pourquoi le Feature Engineering reste léger</w:t>
      </w:r>
    </w:p>
    <w:p>
      <w:pPr>
        <w:spacing w:after="80" w:before="60"/>
      </w:pPr>
      <w:r>
        <w:rPr>
          <w:rFonts w:ascii="Arial" w:cs="Arial" w:eastAsia="Arial" w:hAnsi="Arial"/>
          <w:sz w:val="20"/>
          <w:szCs w:val="20"/>
        </w:rPr>
        <w:t xml:space="preserve">Dans un contexte bancaire réglementaire (IFRS 9, Bâle), chaque variable du modèle doit être explicable à un régulateur ou à un comité de crédit. Des transformations complexes (interactions à 3 variables, polynômes d'ordre 3) produisent des modèles opaques qu'on ne peut pas défendre. La régression logistique avec des variables arithmétiques simples reste l'étalon-or en matière d'explicabilité.</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dti_x_utilization : capture la double pression financière (corr. +0,344 &gt; chaque composante seule)</w:t>
            </w:r>
          </w:p>
          <w:p>
            <w:pPr>
              <w:spacing w:after="30" w:before="30"/>
            </w:pPr>
            <w:r>
              <w:rPr>
                <w:rFonts w:ascii="Arial" w:cs="Arial" w:eastAsia="Arial" w:hAnsi="Arial"/>
                <w:color w:val="375623"/>
                <w:sz w:val="19"/>
                <w:szCs w:val="19"/>
              </w:rPr>
              <w:t xml:space="preserve">→ recent_stress_score : agrège les signaux de détresse à court terme (corr. +0,272)</w:t>
            </w:r>
          </w:p>
          <w:p>
            <w:pPr>
              <w:spacing w:after="30" w:before="30"/>
            </w:pPr>
            <w:r>
              <w:rPr>
                <w:rFonts w:ascii="Arial" w:cs="Arial" w:eastAsia="Arial" w:hAnsi="Arial"/>
                <w:color w:val="375623"/>
                <w:sz w:val="19"/>
                <w:szCs w:val="19"/>
              </w:rPr>
              <w:t xml:space="preserve">→ Le Feature Engineering reste intentionnellement simple pour l'explicabilité réglementaire</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Feature Engineering</w:t>
            </w:r>
          </w:p>
          <w:p>
            <w:pPr>
              <w:spacing w:after="20" w:before="20"/>
            </w:pPr>
            <w:r>
              <w:rPr>
                <w:rFonts w:ascii="Arial" w:cs="Arial" w:eastAsia="Arial" w:hAnsi="Arial"/>
                <w:i/>
                <w:iCs/>
                <w:color w:val="404040"/>
                <w:sz w:val="19"/>
                <w:szCs w:val="19"/>
              </w:rPr>
              <w:t xml:space="preserve">Un météorologue prédit les orages. Il a la température et l'humidité séparément. Il crée un nouvel indice : 'température × humidité' = indice d'inconfort. Cet indice capture l'interaction entre les deux — une journée à 35°C et 90% d'humidité est bien pire que la somme des deux. Le Feature Engineering, c'est créer de nouveaux capteurs virtuels à partir des capteurs existants.</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6 — Encodage One-Hot de employment_status</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pd.get_dummies() transforme la variable catégorielle employment_status (5 modalités) en 4 variables binaires (0/1), en supprimant la modalité Permanent (drop_first=True).</w:t>
      </w:r>
    </w:p>
    <w:p>
      <w:pPr>
        <w:spacing w:after="0" w:before="80"/>
      </w:pPr>
    </w:p>
    <w:p>
      <w:pPr>
        <w:pStyle w:val="Heading3"/>
        <w:spacing w:after="60" w:before="200"/>
      </w:pPr>
      <w:r>
        <w:rPr>
          <w:rFonts w:ascii="Arial" w:cs="Arial" w:eastAsia="Arial" w:hAnsi="Arial"/>
          <w:b/>
          <w:bCs/>
          <w:color w:val="1F3864"/>
          <w:sz w:val="22"/>
          <w:szCs w:val="22"/>
        </w:rPr>
        <w:t xml:space="preserve">Variables créées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 créée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Valeur = 1 si...</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Référence (implicite si toutes = 0)</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employment_status_Retired</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Client retraité</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Client en CDI (Permanent)</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employment_status_Self-employed</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indépendant</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en CDI (Permanent)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employment_status_Temporary</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Client en CDD</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Client en CDI (Permanent)</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employment_status_Unemployed</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sans emploi</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Client en CDI (Permanent)</w:t>
            </w:r>
          </w:p>
        </w:tc>
      </w:tr>
    </w:tbl>
    <w:p>
      <w:pPr>
        <w:spacing w:after="0" w:before="80"/>
      </w:pPr>
    </w:p>
    <w:p>
      <w:pPr>
        <w:pStyle w:val="Heading3"/>
        <w:spacing w:after="60" w:before="200"/>
      </w:pPr>
      <w:r>
        <w:rPr>
          <w:rFonts w:ascii="Arial" w:cs="Arial" w:eastAsia="Arial" w:hAnsi="Arial"/>
          <w:b/>
          <w:bCs/>
          <w:color w:val="1F3864"/>
          <w:sz w:val="22"/>
          <w:szCs w:val="22"/>
        </w:rPr>
        <w:t xml:space="preserve">Pourquoi One-Hot Encoding et pas Label Encoding</w:t>
      </w:r>
    </w:p>
    <w:p>
      <w:pPr>
        <w:spacing w:after="80" w:before="60"/>
      </w:pPr>
      <w:r>
        <w:rPr>
          <w:rFonts w:ascii="Arial" w:cs="Arial" w:eastAsia="Arial" w:hAnsi="Arial"/>
          <w:sz w:val="20"/>
          <w:szCs w:val="20"/>
        </w:rPr>
        <w:t xml:space="preserve">Le Label Encoding assignerait des nombres aux modalités : Permanent=0, Retired=1, Self-employed=2, Temporary=3, Unemployed=4. La régression logistique interpréterait ces nombres comme une échelle ordinale : Unemployed = 4 × Permanent. Or, aucune relation d'ordre n'existe entre ces statuts — ce serait mathématiquement faux et produirait des coefficients sans sens économique.</w:t>
      </w:r>
    </w:p>
    <w:p>
      <w:pPr>
        <w:spacing w:after="80" w:before="60"/>
      </w:pPr>
      <w:r>
        <w:rPr>
          <w:rFonts w:ascii="Arial" w:cs="Arial" w:eastAsia="Arial" w:hAnsi="Arial"/>
          <w:sz w:val="20"/>
          <w:szCs w:val="20"/>
        </w:rPr>
        <w:t xml:space="preserve">Le One-Hot Encoding crée des variables indicatrices binaires : il n'impose aucun ordre artificiel. Chaque modalité obtient son propre coefficient, estimé indépendamment.</w:t>
      </w:r>
    </w:p>
    <w:p>
      <w:pPr>
        <w:spacing w:after="0" w:before="80"/>
      </w:pPr>
    </w:p>
    <w:p>
      <w:pPr>
        <w:pStyle w:val="Heading3"/>
        <w:spacing w:after="60" w:before="200"/>
      </w:pPr>
      <w:r>
        <w:rPr>
          <w:rFonts w:ascii="Arial" w:cs="Arial" w:eastAsia="Arial" w:hAnsi="Arial"/>
          <w:b/>
          <w:bCs/>
          <w:color w:val="1F3864"/>
          <w:sz w:val="22"/>
          <w:szCs w:val="22"/>
        </w:rPr>
        <w:t xml:space="preserve">Pourquoi Permanent est la catégorie de référence</w:t>
      </w:r>
    </w:p>
    <w:p>
      <w:pPr>
        <w:spacing w:after="80" w:before="60"/>
      </w:pPr>
      <w:r>
        <w:rPr>
          <w:rFonts w:ascii="Arial" w:cs="Arial" w:eastAsia="Arial" w:hAnsi="Arial"/>
          <w:sz w:val="20"/>
          <w:szCs w:val="20"/>
        </w:rPr>
        <w:t xml:space="preserve">drop_first=True supprime la première modalité alphabétique, qui est ici Permanent. Permanent devient implicitement la référence : quand toutes les autres variables sont à 0, on sait que le client est en CDI. Le coefficient de chaque autre modalité (ex. Unemployed) mesure l'écart de risque par rapport à un CDI — ce qui est économiquement très interprétable.</w:t>
      </w:r>
    </w:p>
    <w:p>
      <w:pPr>
        <w:spacing w:after="0" w:before="80"/>
      </w:pPr>
    </w:p>
    <w:p>
      <w:pPr>
        <w:pStyle w:val="Heading3"/>
        <w:spacing w:after="60" w:before="200"/>
      </w:pPr>
      <w:r>
        <w:rPr>
          <w:rFonts w:ascii="Arial" w:cs="Arial" w:eastAsia="Arial" w:hAnsi="Arial"/>
          <w:b/>
          <w:bCs/>
          <w:color w:val="1F3864"/>
          <w:sz w:val="22"/>
          <w:szCs w:val="22"/>
        </w:rPr>
        <w:t xml:space="preserve">La dummy variable trap</w:t>
      </w:r>
    </w:p>
    <w:p>
      <w:pPr>
        <w:spacing w:after="80" w:before="60"/>
      </w:pPr>
      <w:r>
        <w:rPr>
          <w:rFonts w:ascii="Arial" w:cs="Arial" w:eastAsia="Arial" w:hAnsi="Arial"/>
          <w:sz w:val="20"/>
          <w:szCs w:val="20"/>
        </w:rPr>
        <w:t xml:space="preserve">Si on gardait les 5 modalités au lieu de 4, on crée une multicolinéarité parfaite : la somme des 5 colonnes binaires vaut toujours exactement 1. La matrice d'information de Fisher deviendrait singulière et les coefficients seraient mathématiquement indéterminés.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One-Hot Encoding</w:t>
            </w:r>
          </w:p>
          <w:p>
            <w:pPr>
              <w:spacing w:after="20" w:before="20"/>
            </w:pPr>
            <w:r>
              <w:rPr>
                <w:rFonts w:ascii="Arial" w:cs="Arial" w:eastAsia="Arial" w:hAnsi="Arial"/>
                <w:i/>
                <w:iCs/>
                <w:color w:val="404040"/>
                <w:sz w:val="19"/>
                <w:szCs w:val="19"/>
              </w:rPr>
              <w:t xml:space="preserve">Vous voulez coder la couleur d'un feu tricolore dans un tableur. Si vous écrivez Rouge=1, Orange=2, Vert=3, Excel pensera que 'Vert' vaut 3x plus que 'Rouge'. Faux ! À la place, vous créez trois colonnes binaires : est_rouge (0/1), est_orange (0/1), est_vert (0/1). Une seule sera à 1 selon la couleur. C'est le One-Hot Encoding.</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7 — Division Train / Test (80% / 20%)</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train_test_split divise le dataset en deux sous-ensembles : 80% pour l'entraînement (X_train, y_train) et 20% pour l'évaluation finale (X_test, y_test). Deux paramètres clés sont utilisés.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Paramètre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Rôle</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stratify=y</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Oui</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Garantit que train et test ont le même taux de défaut (~13,37%)</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random_state=42</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42</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Graine fixée pour la reproductibilité — résultat identique à chaque exécution</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test_size=0.2</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20%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Standard de l'industrie — assez grand pour une évaluation fiable</w:t>
            </w:r>
          </w:p>
        </w:tc>
      </w:tr>
    </w:tbl>
    <w:p>
      <w:pPr>
        <w:spacing w:after="0" w:before="80"/>
      </w:pPr>
    </w:p>
    <w:p>
      <w:pPr>
        <w:pStyle w:val="Heading3"/>
        <w:spacing w:after="60" w:before="200"/>
      </w:pPr>
      <w:r>
        <w:rPr>
          <w:rFonts w:ascii="Arial" w:cs="Arial" w:eastAsia="Arial" w:hAnsi="Arial"/>
          <w:b/>
          <w:bCs/>
          <w:color w:val="1F3864"/>
          <w:sz w:val="22"/>
          <w:szCs w:val="22"/>
        </w:rPr>
        <w:t xml:space="preserve">Résultats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Ensemble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Observations</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Taux de défaut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Train</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9 600 (80%)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13,36 %</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Test</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2 400 (20%)</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13,38 %</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Total</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12 000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13,37 %</w:t>
            </w:r>
          </w:p>
        </w:tc>
      </w:tr>
    </w:tbl>
    <w:p>
      <w:pPr>
        <w:spacing w:after="0" w:before="80"/>
      </w:pPr>
    </w:p>
    <w:p>
      <w:pPr>
        <w:pStyle w:val="Heading3"/>
        <w:spacing w:after="60" w:before="200"/>
      </w:pPr>
      <w:r>
        <w:rPr>
          <w:rFonts w:ascii="Arial" w:cs="Arial" w:eastAsia="Arial" w:hAnsi="Arial"/>
          <w:b/>
          <w:bCs/>
          <w:color w:val="1F3864"/>
          <w:sz w:val="22"/>
          <w:szCs w:val="22"/>
        </w:rPr>
        <w:t xml:space="preserve">Pourquoi stratifier</w:t>
      </w:r>
    </w:p>
    <w:p>
      <w:pPr>
        <w:spacing w:after="80" w:before="60"/>
      </w:pPr>
      <w:r>
        <w:rPr>
          <w:rFonts w:ascii="Arial" w:cs="Arial" w:eastAsia="Arial" w:hAnsi="Arial"/>
          <w:sz w:val="20"/>
          <w:szCs w:val="20"/>
        </w:rPr>
        <w:t xml:space="preserve">Sans stratification, il y a un risque que le split aléatoire produise un test avec 10% de défauts et un train avec 15% — les deux ensembles ne seraient pas représentatifs de la même population. La stratification garantit la représentativité des deux sous-ensembles. C'est particulièrement critique avec une cible déséquilibrée (13,37%).</w:t>
      </w:r>
    </w:p>
    <w:p>
      <w:pPr>
        <w:spacing w:after="0" w:before="80"/>
      </w:pPr>
    </w:p>
    <w:p>
      <w:pPr>
        <w:pStyle w:val="Heading3"/>
        <w:spacing w:after="60" w:before="200"/>
      </w:pPr>
      <w:r>
        <w:rPr>
          <w:rFonts w:ascii="Arial" w:cs="Arial" w:eastAsia="Arial" w:hAnsi="Arial"/>
          <w:b/>
          <w:bCs/>
          <w:color w:val="1F3864"/>
          <w:sz w:val="22"/>
          <w:szCs w:val="22"/>
        </w:rPr>
        <w:t xml:space="preserve">Le principe fondamental : le test est le futur</w:t>
      </w:r>
    </w:p>
    <w:p>
      <w:pPr>
        <w:spacing w:after="80" w:before="60"/>
      </w:pPr>
      <w:r>
        <w:rPr>
          <w:rFonts w:ascii="Arial" w:cs="Arial" w:eastAsia="Arial" w:hAnsi="Arial"/>
          <w:sz w:val="20"/>
          <w:szCs w:val="20"/>
        </w:rPr>
        <w:t xml:space="preserve">Le dataset de test simule des clients que la banque n'a jamais vus. Si le modèle avait accès aux données de test pendant l'entraînement, l'évaluation serait optimiste — comme réviser avec la correction du DS. En réalité en production, les nouvelles demandes de crédit sont des clients inconnus : seul le test reproduit cette condition.</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Le split train/test</w:t>
            </w:r>
          </w:p>
          <w:p>
            <w:pPr>
              <w:spacing w:after="20" w:before="20"/>
            </w:pPr>
            <w:r>
              <w:rPr>
                <w:rFonts w:ascii="Arial" w:cs="Arial" w:eastAsia="Arial" w:hAnsi="Arial"/>
                <w:i/>
                <w:iCs/>
                <w:color w:val="404040"/>
                <w:sz w:val="19"/>
                <w:szCs w:val="19"/>
              </w:rPr>
              <w:t xml:space="preserve">Un lycéen prépare le bac. Il a 100 exercices. Il s'entraîne sur 80 (le train) et se teste sur les 20 restants (le test) qu'il ne regarde pas avant l'examen. Si au lieu de cela il s'entraîne sur les 100 puis se note sur les mêmes 100, il pensera maîtriser — mais le vrai examen avec de nouvelles questions révélera ses lacunes. Le split garantit une évaluation honnête.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8 — Standardisation (StandardScaler)</w:t>
      </w:r>
    </w:p>
    <w:p>
      <w:pPr>
        <w:spacing w:after="0" w:before="80"/>
      </w:pPr>
    </w:p>
    <w:p>
      <w:pPr>
        <w:pStyle w:val="Heading3"/>
        <w:spacing w:after="60" w:before="200"/>
      </w:pPr>
      <w:r>
        <w:rPr>
          <w:rFonts w:ascii="Arial" w:cs="Arial" w:eastAsia="Arial" w:hAnsi="Arial"/>
          <w:b/>
          <w:bCs/>
          <w:color w:val="1F3864"/>
          <w:sz w:val="22"/>
          <w:szCs w:val="22"/>
        </w:rPr>
        <w:t xml:space="preserve">Ce que fait le code</w:t>
      </w:r>
    </w:p>
    <w:p>
      <w:pPr>
        <w:spacing w:after="80" w:before="60"/>
      </w:pPr>
      <w:r>
        <w:rPr>
          <w:rFonts w:ascii="Arial" w:cs="Arial" w:eastAsia="Arial" w:hAnsi="Arial"/>
          <w:sz w:val="20"/>
          <w:szCs w:val="20"/>
        </w:rPr>
        <w:t xml:space="preserve">Le StandardScaler transforme chaque variable numérique continue selon la formule z = (x - μ) / σ. Le scaler est d'abord « entraîné » (fit) uniquement sur X_train pour apprendre μ et σ, puis appliqué (transform) sur X_train ET X_test en utilisant les mêmes paramètres appris. Les variables binaires (salary_domiciliation, OHE) sont exclues — elles sont déjà en 0/1, donc standardisées par nature.</w:t>
      </w:r>
    </w:p>
    <w:p>
      <w:pPr>
        <w:spacing w:after="0" w:before="80"/>
      </w:pPr>
    </w:p>
    <w:p>
      <w:pPr>
        <w:pStyle w:val="Heading3"/>
        <w:spacing w:after="60" w:before="200"/>
      </w:pPr>
      <w:r>
        <w:rPr>
          <w:rFonts w:ascii="Arial" w:cs="Arial" w:eastAsia="Arial" w:hAnsi="Arial"/>
          <w:b/>
          <w:bCs/>
          <w:color w:val="1F3864"/>
          <w:sz w:val="22"/>
          <w:szCs w:val="22"/>
        </w:rPr>
        <w:t xml:space="preserve">Pourquoi la régression logistique nécessite la standardisation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Amplitude brute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Effet sur le coefficient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bureau_score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300 à 850 (amplitude 550)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Coefficient très petit (÷ 550 pour comparer)</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dti</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à 1 (amplitude 1)</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Coefficient très grand (× 550 pour comparer)</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0 à 7 037 € (amplitude 7 037)</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Coefficient infime</w:t>
            </w:r>
          </w:p>
        </w:tc>
      </w:tr>
    </w:tbl>
    <w:p>
      <w:pPr>
        <w:spacing w:after="80" w:before="60"/>
      </w:pPr>
      <w:r>
        <w:rPr>
          <w:rFonts w:ascii="Arial" w:cs="Arial" w:eastAsia="Arial" w:hAnsi="Arial"/>
          <w:sz w:val="20"/>
          <w:szCs w:val="20"/>
        </w:rPr>
        <w:t xml:space="preserve">Sans standardisation, les coefficients ne sont pas comparables entre eux : β(bureau_score) = -0,001 ne peut pas être comparé à β(dti) = 2,3. Après standardisation, tous les coefficients sont sur la même échelle et mesurent directement l'importance relative de chaque variable.</w:t>
      </w:r>
    </w:p>
    <w:p>
      <w:pPr>
        <w:spacing w:after="0" w:before="80"/>
      </w:pPr>
    </w:p>
    <w:p>
      <w:pPr>
        <w:pStyle w:val="Heading3"/>
        <w:spacing w:after="60" w:before="200"/>
      </w:pPr>
      <w:r>
        <w:rPr>
          <w:rFonts w:ascii="Arial" w:cs="Arial" w:eastAsia="Arial" w:hAnsi="Arial"/>
          <w:b/>
          <w:bCs/>
          <w:color w:val="1F3864"/>
          <w:sz w:val="22"/>
          <w:szCs w:val="22"/>
        </w:rPr>
        <w:t xml:space="preserve">La règle anti-leakage : fit uniquement sur le train</w:t>
      </w:r>
    </w:p>
    <w:p>
      <w:pPr>
        <w:spacing w:after="80" w:before="60"/>
      </w:pPr>
      <w:r>
        <w:rPr>
          <w:rFonts w:ascii="Arial" w:cs="Arial" w:eastAsia="Arial" w:hAnsi="Arial"/>
          <w:sz w:val="20"/>
          <w:szCs w:val="20"/>
        </w:rPr>
        <w:t xml:space="preserve">C'est la règle la plus importante du Preprocessing. Si on calculait μ et σ sur l'ensemble du dataset (train + test), on « contaminerait » le test : le scaler aurait utilisé des informations des données de test pour normaliser les données d'entraînement. Ce serait une fuite d'information du futur vers le passé.</w:t>
      </w:r>
    </w:p>
    <w:p>
      <w:pPr>
        <w:spacing w:after="80" w:before="60"/>
      </w:pPr>
      <w:r>
        <w:rPr>
          <w:rFonts w:ascii="Arial" w:cs="Arial" w:eastAsia="Arial" w:hAnsi="Arial"/>
          <w:sz w:val="20"/>
          <w:szCs w:val="20"/>
        </w:rPr>
        <w:t xml:space="preserve">En production, les paramètres de standardisation (μ, σ) sont calculés une fois sur les données historiques (train) et appliqués à tous les nouveaux clients entrants — jamais recalculés à partir des nouvelles données.</w:t>
      </w:r>
    </w:p>
    <w:p>
      <w:pPr>
        <w:spacing w:after="0" w:before="80"/>
      </w:pPr>
    </w:p>
    <w:p>
      <w:pPr>
        <w:pStyle w:val="Heading3"/>
        <w:spacing w:after="60" w:before="200"/>
      </w:pPr>
      <w:r>
        <w:rPr>
          <w:rFonts w:ascii="Arial" w:cs="Arial" w:eastAsia="Arial" w:hAnsi="Arial"/>
          <w:b/>
          <w:bCs/>
          <w:color w:val="1F3864"/>
          <w:sz w:val="22"/>
          <w:szCs w:val="22"/>
        </w:rPr>
        <w:t xml:space="preserve">Vérification post-scaling</w:t>
      </w:r>
    </w:p>
    <w:p>
      <w:pPr>
        <w:spacing w:after="80" w:before="60"/>
      </w:pPr>
      <w:r>
        <w:rPr>
          <w:rFonts w:ascii="Arial" w:cs="Arial" w:eastAsia="Arial" w:hAnsi="Arial"/>
          <w:sz w:val="20"/>
          <w:szCs w:val="20"/>
        </w:rPr>
        <w:t xml:space="preserve">Le code vérifie que la moyenne de X_train_sc est proche de 0 et l'écart-type proche de 1. Une déviation importante signalerait un bug dans le code du scaler.</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pPr>
              <w:spacing w:after="60" w:before="0"/>
            </w:pPr>
            <w:r>
              <w:rPr>
                <w:rFonts w:ascii="Arial" w:cs="Arial" w:eastAsia="Arial" w:hAnsi="Arial"/>
                <w:b/>
                <w:bCs/>
                <w:color w:val="375623"/>
                <w:sz w:val="19"/>
                <w:szCs w:val="19"/>
              </w:rPr>
              <w:t xml:space="preserve">✅ Décision &amp; Action</w:t>
            </w:r>
          </w:p>
          <w:p>
            <w:pPr>
              <w:spacing w:after="30" w:before="30"/>
            </w:pPr>
            <w:r>
              <w:rPr>
                <w:rFonts w:ascii="Arial" w:cs="Arial" w:eastAsia="Arial" w:hAnsi="Arial"/>
                <w:color w:val="375623"/>
                <w:sz w:val="19"/>
                <w:szCs w:val="19"/>
              </w:rPr>
              <w:t xml:space="preserve">→ Après scaling : X_train_sc a moyenne ≈ 0 et écart-type ≈ 1 pour toutes les variables continues</w:t>
            </w:r>
          </w:p>
          <w:p>
            <w:pPr>
              <w:spacing w:after="30" w:before="30"/>
            </w:pPr>
            <w:r>
              <w:rPr>
                <w:rFonts w:ascii="Arial" w:cs="Arial" w:eastAsia="Arial" w:hAnsi="Arial"/>
                <w:color w:val="375623"/>
                <w:sz w:val="19"/>
                <w:szCs w:val="19"/>
              </w:rPr>
              <w:t xml:space="preserve">→ Les variables binaires (salary_domiciliation, OHE) ne sont PAS standardisées</w:t>
            </w:r>
          </w:p>
          <w:p>
            <w:pPr>
              <w:spacing w:after="30" w:before="30"/>
            </w:pPr>
            <w:r>
              <w:rPr>
                <w:rFonts w:ascii="Arial" w:cs="Arial" w:eastAsia="Arial" w:hAnsi="Arial"/>
                <w:color w:val="375623"/>
                <w:sz w:val="19"/>
                <w:szCs w:val="19"/>
              </w:rPr>
              <w:t xml:space="preserve">→ models/scaler.pkl sauvegardé : réappliqué à chaque nouveau client en production</w:t>
            </w:r>
          </w:p>
          <w:p>
            <w:pPr>
              <w:spacing w:after="30" w:before="30"/>
            </w:pPr>
            <w:r>
              <w:rPr>
                <w:rFonts w:ascii="Arial" w:cs="Arial" w:eastAsia="Arial" w:hAnsi="Arial"/>
                <w:color w:val="375623"/>
                <w:sz w:val="19"/>
                <w:szCs w:val="19"/>
              </w:rPr>
              <w:t xml:space="preserve">→ Règle anti-leakage respectée : fit UNIQUEMENT sur X_train</w:t>
            </w:r>
          </w:p>
        </w:tc>
      </w:tr>
    </w:tbl>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pPr>
              <w:spacing w:after="40" w:before="20"/>
            </w:pPr>
            <w:r>
              <w:rPr>
                <w:rFonts w:ascii="Arial" w:cs="Arial" w:eastAsia="Arial" w:hAnsi="Arial"/>
                <w:b/>
                <w:bCs/>
                <w:color w:val="C55A11"/>
                <w:sz w:val="19"/>
                <w:szCs w:val="19"/>
              </w:rPr>
              <w:t xml:space="preserve">🎯 Analogie : La standardisation</w:t>
            </w:r>
          </w:p>
          <w:p>
            <w:pPr>
              <w:spacing w:after="20" w:before="20"/>
            </w:pPr>
            <w:r>
              <w:rPr>
                <w:rFonts w:ascii="Arial" w:cs="Arial" w:eastAsia="Arial" w:hAnsi="Arial"/>
                <w:i/>
                <w:iCs/>
                <w:color w:val="404040"/>
                <w:sz w:val="19"/>
                <w:szCs w:val="19"/>
              </w:rPr>
              <w:t xml:space="preserve">Vous comparez la performance de 3 étudiants dans 3 matières notées différemment : maths sur 20, sport sur 100, musique sur 10. Un 15/20 en maths, un 70/100 en sport et un 7/10 en musique : qui est le meilleur ? Impossible à comparer. Après standardisation (z-score), tous sont ramenés au même référentiel : moyenne 0, écart-type 1. Un z-score de +1,5 signifie '1,5 fois au-dessus de la moyenne dans cette matière' — universellement comparable.</w:t>
            </w:r>
          </w:p>
        </w:tc>
      </w:tr>
    </w:tbl>
    <w:p>
      <w:pPr>
        <w:spacing w:after="0" w:before="80"/>
      </w:pPr>
    </w:p>
    <w:p>
      <w:pPr>
        <w:pBdr>
          <w:bottom w:val="single" w:color="BFBFBF" w:sz="2" w:space="1"/>
        </w:pBdr>
        <w:spacing w:after="120" w:before="120"/>
      </w:pPr>
    </w:p>
    <w:p>
      <w:pPr>
        <w:pStyle w:val="Heading2"/>
        <w:shd w:fill="2E75B6" w:val="clear"/>
        <w:spacing w:after="80" w:before="280"/>
        <w:ind w:left="120"/>
      </w:pPr>
      <w:r>
        <w:rPr>
          <w:rFonts w:ascii="Arial" w:cs="Arial" w:eastAsia="Arial" w:hAnsi="Arial"/>
          <w:b/>
          <w:bCs/>
          <w:color w:val="FFFFFF"/>
          <w:sz w:val="26"/>
          <w:szCs w:val="26"/>
        </w:rPr>
        <w:t xml:space="preserve">Étape 9 — Synthèse : État Final des Données</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Transformation</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Avant</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Après</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customer_id</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Présent (12 colonnes)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Supprimé (11 colonnes)</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Valeurs manquantes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bureau_score: 298 NaN, income: 431 NaN</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 valeurs manquantes</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Outliers extrêmes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 max = 15 000€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 max = 7 037€ (P99)</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Features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 variables brutes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 variables (+ 2 engineered)</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employment_status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 colonne catégorielle (5 modal.)</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4 colonnes binaires OHE</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 features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10</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 (12 num. + 3 OHE + salary_dom)</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Split</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12 000 obs.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Train: 9 600 | Test: 2 400</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Amplitude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Variables à échelles différentes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Moyenne=0, Écart-type=1</w:t>
            </w:r>
          </w:p>
        </w:tc>
      </w:tr>
    </w:tbl>
    <w:p>
      <w:pPr>
        <w:spacing w:after="0" w:before="80"/>
      </w:pPr>
    </w:p>
    <w:p>
      <w:r>
        <w:br w:type="page"/>
      </w:r>
    </w:p>
    <w:p>
      <w:pPr>
        <w:pStyle w:val="Heading1"/>
        <w:pBdr>
          <w:bottom w:val="single" w:color="C55A11" w:sz="4" w:space="4"/>
        </w:pBdr>
        <w:shd w:fill="1F3864" w:val="clear"/>
        <w:spacing w:after="120" w:before="360"/>
        <w:ind w:left="200" w:right="200"/>
      </w:pPr>
      <w:r>
        <w:rPr>
          <w:rFonts w:ascii="Arial" w:cs="Arial" w:eastAsia="Arial" w:hAnsi="Arial"/>
          <w:b/>
          <w:bCs/>
          <w:color w:val="FFFFFF"/>
          <w:sz w:val="30"/>
          <w:szCs w:val="30"/>
        </w:rPr>
        <w:t xml:space="preserve">Lien avec le Document : Compréhension des Variables</w:t>
      </w:r>
    </w:p>
    <w:p>
      <w:pPr>
        <w:spacing w:after="0" w:before="80"/>
      </w:pPr>
    </w:p>
    <w:p>
      <w:pPr>
        <w:spacing w:after="80" w:before="60"/>
      </w:pPr>
      <w:r>
        <w:rPr>
          <w:rFonts w:ascii="Arial" w:cs="Arial" w:eastAsia="Arial" w:hAnsi="Arial"/>
          <w:sz w:val="20"/>
          <w:szCs w:val="20"/>
        </w:rPr>
        <w:t xml:space="preserve">Le fichier Partie1_Comprehension_Variables.docx constitue la documentation de référence du projet. Il établit le dictionnaire des variables, justifie la sélection des prédicteurs, et documente les décisions de Feature Engineering. Voici comment il s'articule avec le notebook.</w:t>
      </w:r>
    </w:p>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Dictionnaire des Variables — Récapitulatif</w:t>
      </w:r>
    </w:p>
    <w:p>
      <w:pPr>
        <w:spacing w:after="0" w:before="80"/>
      </w:pPr>
    </w:p>
    <w:p>
      <w:pPr>
        <w:pStyle w:val="Heading3"/>
        <w:spacing w:after="60" w:before="200"/>
      </w:pPr>
      <w:r>
        <w:rPr>
          <w:rFonts w:ascii="Arial" w:cs="Arial" w:eastAsia="Arial" w:hAnsi="Arial"/>
          <w:b/>
          <w:bCs/>
          <w:color w:val="1F3864"/>
          <w:sz w:val="22"/>
          <w:szCs w:val="22"/>
        </w:rPr>
        <w:t xml:space="preserve">Variables Comportementales (les plus prédictives)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Relation avec le défaut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max_dpd_12m</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Max jours de retard sur 12 mois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Positive (+0,38) — le meilleur prédicteur comportemental</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missed_payments_3m</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Échéances manquées sur 3 mois</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 (+0,25) — signal récent très informatif</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overdrawn_days_3m</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Jours à découvert sur 3 mois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Positive (+0,24) — tensions de trésorerie immédiates</w:t>
            </w:r>
          </w:p>
        </w:tc>
      </w:tr>
    </w:tbl>
    <w:p>
      <w:pPr>
        <w:spacing w:after="0" w:before="80"/>
      </w:pPr>
    </w:p>
    <w:p>
      <w:pPr>
        <w:pStyle w:val="Heading3"/>
        <w:spacing w:after="60" w:before="200"/>
      </w:pPr>
      <w:r>
        <w:rPr>
          <w:rFonts w:ascii="Arial" w:cs="Arial" w:eastAsia="Arial" w:hAnsi="Arial"/>
          <w:b/>
          <w:bCs/>
          <w:color w:val="1F3864"/>
          <w:sz w:val="22"/>
          <w:szCs w:val="22"/>
        </w:rPr>
        <w:t xml:space="preserve">Variables Financières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Relation avec le défaut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bureau_score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Score d'un bureau de crédit externe (300-850)</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Négative (-0,38) — protecteur</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dti</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Charges de dette / Revenu mensuel</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Positive (+0,20)</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utilization_rate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Solde utilisé / Limite autorisée</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Positive (+0,29)</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monthly_income</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Revenu mensuel du client</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Négative (-0,10) — protecteur</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number_of_credit_inquiries_6m</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Demandes de crédit sur 6 mois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Positive (+0,21)</w:t>
            </w:r>
          </w:p>
        </w:tc>
      </w:tr>
    </w:tbl>
    <w:p>
      <w:pPr>
        <w:spacing w:after="0" w:before="80"/>
      </w:pPr>
    </w:p>
    <w:p>
      <w:pPr>
        <w:pStyle w:val="Heading3"/>
        <w:spacing w:after="60" w:before="200"/>
      </w:pPr>
      <w:r>
        <w:rPr>
          <w:rFonts w:ascii="Arial" w:cs="Arial" w:eastAsia="Arial" w:hAnsi="Arial"/>
          <w:b/>
          <w:bCs/>
          <w:color w:val="1F3864"/>
          <w:sz w:val="22"/>
          <w:szCs w:val="22"/>
        </w:rPr>
        <w:t xml:space="preserve">Variables Sociodémographiques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6"/>
        <w:gridCol w:w="3066"/>
      </w:tblGrid>
      <w:tr>
        <w:trPr>
          <w:tblHeader/>
        </w:trPr>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c>
          <w:tcPr>
            <w:tcW w:type="dxa" w:w="306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Relation avec le défaut</w:t>
            </w:r>
          </w:p>
        </w:tc>
      </w:tr>
      <w:tr>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employment_status</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CDI, CDD, Indépendant, Chômeur, Retraité</w:t>
            </w:r>
          </w:p>
        </w:tc>
        <w:tc>
          <w:tcPr>
            <w:tcW w:type="dxa" w:w="306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Forte : 37% défaut (chômeur) vs 10% (CDI)</w:t>
            </w:r>
          </w:p>
        </w:tc>
      </w:tr>
      <w:tr>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salary_domiciliation</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Salaire domicilié dans la banque (0/1)</w:t>
            </w:r>
          </w:p>
        </w:tc>
        <w:tc>
          <w:tcPr>
            <w:tcW w:type="dxa" w:w="306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Négative (-0,07) — réduction de 30% du risque</w:t>
            </w:r>
          </w:p>
        </w:tc>
      </w:tr>
    </w:tbl>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Justification de Conservation de Toutes les Variables</w:t>
      </w:r>
    </w:p>
    <w:p>
      <w:pPr>
        <w:spacing w:after="0" w:before="80"/>
      </w:pPr>
    </w:p>
    <w:p>
      <w:pPr>
        <w:spacing w:after="80" w:before="60"/>
      </w:pPr>
      <w:r>
        <w:rPr>
          <w:rFonts w:ascii="Arial" w:cs="Arial" w:eastAsia="Arial" w:hAnsi="Arial"/>
          <w:sz w:val="20"/>
          <w:szCs w:val="20"/>
        </w:rPr>
        <w:t xml:space="preserve">Le document Partie 1 justifie trois raisons de conserver l'ensemble des 10 variables :</w:t>
      </w:r>
    </w:p>
    <w:p>
      <w:pPr>
        <w:pStyle w:val="ListParagraph"/>
        <w:numPr>
          <w:ilvl w:val="0"/>
          <w:numId w:val="2"/>
        </w:numPr>
        <w:spacing w:after="40" w:before="40"/>
      </w:pPr>
      <w:r>
        <w:rPr>
          <w:rFonts w:ascii="Arial" w:cs="Arial" w:eastAsia="Arial" w:hAnsi="Arial"/>
          <w:b/>
          <w:bCs/>
          <w:sz w:val="20"/>
          <w:szCs w:val="20"/>
        </w:rPr>
        <w:t xml:space="preserve">Absence de multicolinéarité sévère</w:t>
      </w:r>
      <w:r>
        <w:rPr>
          <w:rFonts w:ascii="Arial" w:cs="Arial" w:eastAsia="Arial" w:hAnsi="Arial"/>
          <w:sz w:val="20"/>
          <w:szCs w:val="20"/>
        </w:rPr>
        <w:t xml:space="preserve"> : corrélation maximale entre prédicteurs ≈ 0,37, bien inférieure au seuil critique de 0,7-0,8.</w:t>
      </w:r>
    </w:p>
    <w:p>
      <w:pPr>
        <w:pStyle w:val="ListParagraph"/>
        <w:numPr>
          <w:ilvl w:val="0"/>
          <w:numId w:val="2"/>
        </w:numPr>
        <w:spacing w:after="40" w:before="40"/>
      </w:pPr>
      <w:r>
        <w:rPr>
          <w:rFonts w:ascii="Arial" w:cs="Arial" w:eastAsia="Arial" w:hAnsi="Arial"/>
          <w:b/>
          <w:bCs/>
          <w:sz w:val="20"/>
          <w:szCs w:val="20"/>
        </w:rPr>
        <w:t xml:space="preserve">Justification économique individuelle</w:t>
      </w:r>
      <w:r>
        <w:rPr>
          <w:rFonts w:ascii="Arial" w:cs="Arial" w:eastAsia="Arial" w:hAnsi="Arial"/>
          <w:sz w:val="20"/>
          <w:szCs w:val="20"/>
        </w:rPr>
        <w:t xml:space="preserve"> : chaque variable a une logique métier documentée dans la littérature Bâle II/III et IRBA.</w:t>
      </w:r>
    </w:p>
    <w:p>
      <w:pPr>
        <w:pStyle w:val="ListParagraph"/>
        <w:numPr>
          <w:ilvl w:val="0"/>
          <w:numId w:val="2"/>
        </w:numPr>
        <w:spacing w:after="40" w:before="40"/>
      </w:pPr>
      <w:r>
        <w:rPr>
          <w:rFonts w:ascii="Arial" w:cs="Arial" w:eastAsia="Arial" w:hAnsi="Arial"/>
          <w:b/>
          <w:bCs/>
          <w:sz w:val="20"/>
          <w:szCs w:val="20"/>
        </w:rPr>
        <w:t xml:space="preserve">Ratio données / paramètres favorable</w:t>
      </w:r>
      <w:r>
        <w:rPr>
          <w:rFonts w:ascii="Arial" w:cs="Arial" w:eastAsia="Arial" w:hAnsi="Arial"/>
          <w:sz w:val="20"/>
          <w:szCs w:val="20"/>
        </w:rPr>
        <w:t xml:space="preserve"> : 12 000 observations pour 10 prédicteurs → ratio 1 200:1, très au-delà du minimum recommandé de 10:1.</w:t>
      </w:r>
    </w:p>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Pistes Délibérément Écartées — Pourquoi</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Idée écartée</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Raison de l'exclusion</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Transformation logarithmique de monthly_income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Le capping P99 est suffisant pour neutraliser les extrêmes sans ajouter de complexité non-linéaire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Discrétisation en buckets (WOE/IV)</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Utile pour une Scorecard réglementaire, inadaptée à une régression logistique sur valeurs continues</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Interactions à 3 variables ou plus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Nuit à l'interprétabilité des coefficients — exigence centrale du contexte réglementaire bancaire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SMOTE ou suréchantillonnage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Déséquilibre modéré (1:6,5) — class_weight='balanced' de sklearn est plus simple et transparent</w:t>
            </w:r>
          </w:p>
        </w:tc>
      </w:tr>
    </w:tbl>
    <w:p>
      <w:pPr>
        <w:spacing w:after="0" w:before="80"/>
      </w:pPr>
    </w:p>
    <w:p>
      <w:r>
        <w:br w:type="page"/>
      </w:r>
    </w:p>
    <w:p>
      <w:pPr>
        <w:pStyle w:val="Heading1"/>
        <w:pBdr>
          <w:bottom w:val="single" w:color="C55A11" w:sz="4" w:space="4"/>
        </w:pBdr>
        <w:shd w:fill="1F3864" w:val="clear"/>
        <w:spacing w:after="120" w:before="360"/>
        <w:ind w:left="200" w:right="200"/>
      </w:pPr>
      <w:r>
        <w:rPr>
          <w:rFonts w:ascii="Arial" w:cs="Arial" w:eastAsia="Arial" w:hAnsi="Arial"/>
          <w:b/>
          <w:bCs/>
          <w:color w:val="FFFFFF"/>
          <w:sz w:val="30"/>
          <w:szCs w:val="30"/>
        </w:rPr>
        <w:t xml:space="preserve">Conclusion — Ce Qu'il Faut Retenir</w:t>
      </w:r>
    </w:p>
    <w:p>
      <w:pPr>
        <w:spacing w:after="0" w:before="80"/>
      </w:pPr>
    </w:p>
    <w:p>
      <w:pPr>
        <w:spacing w:after="80" w:before="60"/>
      </w:pPr>
      <w:r>
        <w:rPr>
          <w:rFonts w:ascii="Arial" w:cs="Arial" w:eastAsia="Arial" w:hAnsi="Arial"/>
          <w:sz w:val="20"/>
          <w:szCs w:val="20"/>
        </w:rPr>
        <w:t xml:space="preserve">L'EDA et le Preprocessing ne sont pas des étapes de « nettoyage » mécanique. Ce sont des phases d'investigation et de décision qui déterminent la qualité et la fiabilité du modèle final. Voici les points à retenir absolument pour votre présentation à l'encadrant.</w:t>
      </w:r>
    </w:p>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Les 5 Décisions Clés à Défendre</w:t>
      </w:r>
    </w:p>
    <w:p>
      <w:pPr>
        <w:spacing w:after="0" w:before="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Décision</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Justification en une phrase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Imputation par la médiane (pas la moyenne)</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 a un skewness de 2,39 — la médiane est robuste aux outliers qui seront cappés juste après</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Capping au P99 (pas P95, pas P99,5)</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Standard du crédit scoring : neutralise l'1% aberrant sans déformer la distribution utile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Suppression customer_id</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Un identifiant technique provoquerait un overfitting immédiat sans aucune valeur prédictive</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OHE avec Permanent comme référence</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Permanent est la modalité la moins risquée (9,6% défaut) — les coefficients OHE mesurent l'écart de risque vs CDI</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Scaler fitté sur le train uniquement</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Règle anti-leakage : utiliser les stats du test contaminerait l'évaluation et surestimerait les performances</w:t>
            </w:r>
          </w:p>
        </w:tc>
      </w:tr>
    </w:tbl>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Fil Conducteur des Deux Phases</w:t>
      </w:r>
    </w:p>
    <w:p>
      <w:pPr>
        <w:spacing w:after="0" w:before="80"/>
      </w:pPr>
    </w:p>
    <w:p>
      <w:pPr>
        <w:spacing w:after="80" w:before="60"/>
      </w:pPr>
      <w:r>
        <w:rPr>
          <w:rFonts w:ascii="Arial" w:cs="Arial" w:eastAsia="Arial" w:hAnsi="Arial"/>
          <w:sz w:val="20"/>
          <w:szCs w:val="20"/>
        </w:rPr>
        <w:t xml:space="preserve">Chaque étape du Preprocessing a été motivée par un constat de l'EDA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Constat EDA</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 Preprocessing correspondante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monthly_income : skewness 2,39, outliers extrêmes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Étape 4 : Capping au P99</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bureau_score et monthly_income : valeurs manquantes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Étape 3 : Imputation par médiane</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employment_status : fort pouvoir discriminant</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Étape 6 : One-Hot Encoding</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Variables à échelles très différentes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Étape 8 : StandardScaler</w:t>
            </w:r>
          </w:p>
        </w:tc>
      </w:tr>
      <w:tr>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DTI et utilization_rate : signaux complémentaires</w:t>
            </w:r>
          </w:p>
        </w:tc>
        <w:tc>
          <w:tcPr>
            <w:tcW w:type="dxa" w:w="4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8"/>
                <w:szCs w:val="18"/>
              </w:rPr>
              <w:t xml:space="preserve">Étape 5 : dti_x_utilization créé</w:t>
            </w:r>
          </w:p>
        </w:tc>
      </w:tr>
      <w:tr>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Déséquilibre modéré (13,37%)</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class_weight='balanced' au modèle (Partie 3)</w:t>
            </w:r>
          </w:p>
        </w:tc>
      </w:tr>
    </w:tbl>
    <w:p>
      <w:pPr>
        <w:spacing w:after="0" w:before="80"/>
      </w:pPr>
    </w:p>
    <w:p>
      <w:pPr>
        <w:pStyle w:val="Heading2"/>
        <w:shd w:fill="2E75B6" w:val="clear"/>
        <w:spacing w:after="80" w:before="280"/>
        <w:ind w:left="120"/>
      </w:pPr>
      <w:r>
        <w:rPr>
          <w:rFonts w:ascii="Arial" w:cs="Arial" w:eastAsia="Arial" w:hAnsi="Arial"/>
          <w:b/>
          <w:bCs/>
          <w:color w:val="FFFFFF"/>
          <w:sz w:val="26"/>
          <w:szCs w:val="26"/>
        </w:rPr>
        <w:t xml:space="preserve">Prochaine Étape : Entraînement du Modèle</w:t>
      </w:r>
    </w:p>
    <w:p>
      <w:pPr>
        <w:spacing w:after="0" w:before="80"/>
      </w:pPr>
    </w:p>
    <w:p>
      <w:pPr>
        <w:spacing w:after="80" w:before="60"/>
      </w:pPr>
      <w:r>
        <w:rPr>
          <w:rFonts w:ascii="Arial" w:cs="Arial" w:eastAsia="Arial" w:hAnsi="Arial"/>
          <w:sz w:val="20"/>
          <w:szCs w:val="20"/>
        </w:rPr>
        <w:t xml:space="preserve">Le dataset est maintenant prêt : 12 000 clients, 15 features finales, train de 9 600 observations / test de 2 400, toutes les variables numériques standardisées (μ=0, σ=1), aucune valeur manquante. Le notebook suivant (Partie 3) entraînera la régression logistique sur X_train_sc et évaluera ses performances sur X_test_sc — données que le modèle n'aura jamais vues.</w:t>
      </w:r>
    </w:p>
    <w:p>
      <w:pPr>
        <w:spacing w:after="0" w:before="80"/>
      </w:pPr>
    </w:p>
    <w:p>
      <w:pPr>
        <w:pBdr>
          <w:bottom w:val="single" w:color="BFBFBF" w:sz="2" w:space="1"/>
        </w:pBdr>
        <w:spacing w:after="120" w:before="120"/>
      </w:pPr>
    </w:p>
    <w:p>
      <w:pPr>
        <w:spacing w:after="60" w:before="200"/>
        <w:jc w:val="center"/>
      </w:pPr>
      <w:r>
        <w:rPr>
          <w:rFonts w:ascii="Arial" w:cs="Arial" w:eastAsia="Arial" w:hAnsi="Arial"/>
          <w:i/>
          <w:iCs/>
          <w:color w:val="808080"/>
          <w:sz w:val="17"/>
          <w:szCs w:val="17"/>
        </w:rPr>
        <w:t xml:space="preserve">Document généré dans le cadre du Stage EY Tunisia — Projet PD Model</w:t>
      </w:r>
    </w:p>
    <w:p>
      <w:pPr>
        <w:spacing w:after="60" w:before="0"/>
        <w:jc w:val="center"/>
      </w:pPr>
      <w:r>
        <w:rPr>
          <w:rFonts w:ascii="Arial" w:cs="Arial" w:eastAsia="Arial" w:hAnsi="Arial"/>
          <w:i/>
          <w:iCs/>
          <w:color w:val="808080"/>
          <w:sz w:val="17"/>
          <w:szCs w:val="17"/>
        </w:rPr>
        <w:t xml:space="preserve">IFRS 9 / ECL Credit Risk Modeling — Juin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2026-06-19T16:19:29.189Z</dcterms:created>
  <dcterms:modified xsi:type="dcterms:W3CDTF">2026-06-19T16:19:29.190Z</dcterms:modified>
</cp:coreProperties>
</file>

<file path=docProps/custom.xml><?xml version="1.0" encoding="utf-8"?>
<Properties xmlns="http://schemas.openxmlformats.org/officeDocument/2006/custom-properties" xmlns:vt="http://schemas.openxmlformats.org/officeDocument/2006/docPropsVTypes"/>
</file>