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0A500"/>
          <w:sz w:val="20"/>
          <w:szCs w:val="20"/>
        </w:rPr>
        <w:t xml:space="preserve">ERNST &amp; YOUNG</w:t>
      </w:r>
    </w:p>
    <w:p>
      <w:pPr>
        <w:spacing w:after="600"/>
        <w:jc w:val="center"/>
      </w:pPr>
      <w:r>
        <w:rPr>
          <w:color w:val="CBD5E0"/>
          <w:sz w:val="18"/>
          <w:szCs w:val="18"/>
        </w:rPr>
        <w:t xml:space="preserve">Advisory | Risk &amp; Financial Services</w:t>
      </w:r>
    </w:p>
    <w:p>
      <w:pPr>
        <w:spacing w:after="160"/>
        <w:jc w:val="center"/>
      </w:pPr>
      <w:r>
        <w:rPr>
          <w:b/>
          <w:bCs/>
          <w:color w:val="2E5B8C"/>
          <w:sz w:val="48"/>
          <w:szCs w:val="48"/>
        </w:rPr>
        <w:t xml:space="preserve">Modèle de Probabilité de Défaut</w:t>
      </w:r>
    </w:p>
    <w:p>
      <w:pPr>
        <w:spacing w:after="120"/>
        <w:jc w:val="center"/>
      </w:pPr>
      <w:r>
        <w:rPr>
          <w:color w:val="1A1A2E"/>
          <w:sz w:val="28"/>
          <w:szCs w:val="28"/>
        </w:rPr>
        <w:t xml:space="preserve">Segment Retail — Régression Logistique</w:t>
      </w:r>
    </w:p>
    <w:p>
      <w:pPr>
        <w:spacing w:after="120"/>
        <w:jc w:val="center"/>
      </w:pPr>
      <w:r>
        <w:rPr>
          <w:color w:val="F0A500"/>
        </w:rPr>
        <w:t xml:space="preserve">─────────────────────────────────────────</w:t>
      </w:r>
    </w:p>
    <w:p>
      <w:pPr>
        <w:spacing w:after="600"/>
        <w:jc w:val="center"/>
      </w:pPr>
      <w:r>
        <w:rPr>
          <w:b/>
          <w:bCs/>
          <w:color w:val="F0A500"/>
          <w:sz w:val="32"/>
          <w:szCs w:val="32"/>
        </w:rPr>
        <w:t xml:space="preserve">Partie 3 — Construction du Modèle</w:t>
      </w:r>
    </w:p>
    <w:p>
      <w:pPr>
        <w:spacing w:after="100"/>
        <w:jc w:val="center"/>
      </w:pPr>
      <w:r>
        <w:rPr>
          <w:color w:val="CBD5E0"/>
          <w:sz w:val="20"/>
          <w:szCs w:val="20"/>
        </w:rPr>
        <w:t xml:space="preserve">Stage EY · Juin 2026</w:t>
      </w:r>
    </w:p>
    <w:p>
      <w:pPr>
        <w:spacing w:after="800"/>
        <w:jc w:val="center"/>
      </w:pPr>
      <w:r>
        <w:rPr>
          <w:color w:val="CBD5E0"/>
          <w:sz w:val="18"/>
          <w:szCs w:val="18"/>
        </w:rPr>
        <w:t xml:space="preserve">Confidentiel — Usage interne uniquement</w:t>
      </w:r>
    </w:p>
    <w:p>
      <w:r>
        <w:br w:type="page"/>
      </w:r>
    </w:p>
    <w:p>
      <w:pPr>
        <w:pStyle w:val="Heading1"/>
        <w:pBdr>
          <w:bottom w:val="single" w:color="F0A500" w:sz="3" w:space="4"/>
        </w:pBdr>
        <w:spacing w:after="200" w:before="400"/>
        <w:rPr>
          <w:b/>
          <w:bCs/>
          <w:color w:val="2E5B8C"/>
          <w:sz w:val="32"/>
          <w:szCs w:val="32"/>
        </w:rPr>
      </w:pPr>
      <w:r>
        <w:t xml:space="preserve">1. Introduction et Objectifs</w:t>
      </w:r>
    </w:p>
    <w:p>
      <w:pPr>
        <w:spacing w:after="100"/>
        <w:jc w:val="both"/>
      </w:pPr>
      <w:r>
        <w:rPr>
          <w:color w:val="1A1A2E"/>
          <w:sz w:val="20"/>
          <w:szCs w:val="20"/>
        </w:rPr>
        <w:t xml:space="preserve">Cette partie décrit la construction du modèle de Probabilité de Défaut (PD) pour le segment retail. À l'issue des étapes précédentes (compréhension des variables et préparation des données), le dataset est propre, complet, et prêt à être modélisé : 12 000 observations, 13 features standardisées, aucune valeur manquante.</w:t>
      </w:r>
    </w:p>
    <w:p>
      <w:pPr>
        <w:spacing w:after="80"/>
      </w:pPr>
    </w:p>
    <w:p>
      <w:pPr>
        <w:spacing w:after="100"/>
        <w:jc w:val="both"/>
      </w:pPr>
      <w:r>
        <w:rPr>
          <w:color w:val="1A1A2E"/>
          <w:sz w:val="20"/>
          <w:szCs w:val="20"/>
        </w:rPr>
        <w:t xml:space="preserve">L'objectif de cette étape est triple :</w:t>
      </w:r>
    </w:p>
    <w:p>
      <w:pPr>
        <w:pStyle w:val="ListParagraph"/>
        <w:numPr>
          <w:ilvl w:val="0"/>
          <w:numId w:val="1"/>
        </w:numPr>
        <w:spacing w:after="80"/>
        <w:jc w:val="both"/>
      </w:pPr>
      <w:r>
        <w:rPr>
          <w:color w:val="1A1A2E"/>
          <w:sz w:val="20"/>
          <w:szCs w:val="20"/>
        </w:rPr>
        <w:t xml:space="preserve">Entraîner un modèle de régression logistique calibré pour prédire la probabilité de défaut à 12 mois (default_12m)</w:t>
      </w:r>
    </w:p>
    <w:p>
      <w:pPr>
        <w:pStyle w:val="ListParagraph"/>
        <w:numPr>
          <w:ilvl w:val="0"/>
          <w:numId w:val="1"/>
        </w:numPr>
        <w:spacing w:after="80"/>
        <w:jc w:val="both"/>
      </w:pPr>
      <w:r>
        <w:rPr>
          <w:color w:val="1A1A2E"/>
          <w:sz w:val="20"/>
          <w:szCs w:val="20"/>
        </w:rPr>
        <w:t xml:space="preserve">Valider la stabilité du modèle par validation croisée 5-fold stratifiée</w:t>
      </w:r>
    </w:p>
    <w:p>
      <w:pPr>
        <w:pStyle w:val="ListParagraph"/>
        <w:numPr>
          <w:ilvl w:val="0"/>
          <w:numId w:val="1"/>
        </w:numPr>
        <w:spacing w:after="80"/>
        <w:jc w:val="both"/>
      </w:pPr>
      <w:r>
        <w:rPr>
          <w:color w:val="1A1A2E"/>
          <w:sz w:val="20"/>
          <w:szCs w:val="20"/>
        </w:rPr>
        <w:t xml:space="preserve">Interpréter les coefficients et les Odds Ratios pour identifier les drivers économiques du risque de défaut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2E5B8C" w:sz="6"/>
              <w:left w:val="single" w:color="2E5B8C" w:sz="6"/>
              <w:bottom w:val="single" w:color="2E5B8C" w:sz="2"/>
              <w:right w:val="single" w:color="2E5B8C" w:sz="2"/>
            </w:tcBorders>
            <w:shd w:fill="EBF5FB" w:color="auto" w:val="clear"/>
            <w:tcMar>
              <w:top w:type="dxa" w:w="120"/>
              <w:left w:type="dxa" w:w="200"/>
              <w:bottom w:type="dxa" w:w="120"/>
              <w:right w:type="dxa" w:w="200"/>
            </w:tcMar>
          </w:tcPr>
          <w:p>
            <w:pPr>
              <w:spacing w:after="100"/>
            </w:pPr>
            <w:r>
              <w:rPr>
                <w:b/>
                <w:bCs/>
                <w:color w:val="2E5B8C"/>
                <w:sz w:val="20"/>
                <w:szCs w:val="20"/>
              </w:rPr>
              <w:t xml:space="preserve">📌 Rappel — Contexte réglementaire (Bâle II/III)</w:t>
            </w:r>
          </w:p>
          <w:p>
            <w:pPr>
              <w:spacing w:after="70"/>
            </w:pPr>
            <w:r>
              <w:rPr>
                <w:color w:val="1A1A2E"/>
                <w:sz w:val="19"/>
                <w:szCs w:val="19"/>
              </w:rPr>
              <w:t xml:space="preserve">Dans le cadre de Bâle II/III, la Probabilité de Défaut (PD) est l'un des trois paramètres fondamentaux du</w:t>
            </w:r>
          </w:p>
          <w:p>
            <w:pPr>
              <w:spacing w:after="70"/>
            </w:pPr>
            <w:r>
              <w:rPr>
                <w:color w:val="1A1A2E"/>
                <w:sz w:val="19"/>
                <w:szCs w:val="19"/>
              </w:rPr>
              <w:t xml:space="preserve">risque de crédit (avec la Loss Given Default et l'Exposure at Default). Elle représente la probabilité qu'un</w:t>
            </w:r>
          </w:p>
          <w:p>
            <w:pPr>
              <w:spacing w:after="70"/>
            </w:pPr>
            <w:r>
              <w:rPr>
                <w:color w:val="1A1A2E"/>
                <w:sz w:val="19"/>
                <w:szCs w:val="19"/>
              </w:rPr>
              <w:t xml:space="preserve">emprunteur soit en défaut dans les 12 mois à venir. Le modèle développé ici suit les standards de validation</w:t>
            </w:r>
          </w:p>
          <w:p>
            <w:pPr>
              <w:spacing w:after="70"/>
            </w:pPr>
            <w:r>
              <w:rPr>
                <w:color w:val="1A1A2E"/>
                <w:sz w:val="19"/>
                <w:szCs w:val="19"/>
              </w:rPr>
              <w:t xml:space="preserve">interne des modèles de crédit scoring retail.</w:t>
            </w:r>
          </w:p>
        </w:tc>
      </w:tr>
    </w:tbl>
    <w:p>
      <w:pPr>
        <w:spacing w:after="200"/>
      </w:pPr>
    </w:p>
    <w:p>
      <w:pPr>
        <w:pStyle w:val="Heading1"/>
        <w:pBdr>
          <w:bottom w:val="single" w:color="F0A500" w:sz="3" w:space="4"/>
        </w:pBdr>
        <w:spacing w:after="200" w:before="400"/>
        <w:rPr>
          <w:b/>
          <w:bCs/>
          <w:color w:val="2E5B8C"/>
          <w:sz w:val="32"/>
          <w:szCs w:val="32"/>
        </w:rPr>
      </w:pPr>
      <w:r>
        <w:t xml:space="preserve">2. Choix Méthodologique — Régression Logistique</w:t>
      </w:r>
    </w:p>
    <w:p>
      <w:pPr>
        <w:spacing w:after="100"/>
        <w:jc w:val="both"/>
      </w:pPr>
      <w:r>
        <w:rPr>
          <w:color w:val="1A1A2E"/>
          <w:sz w:val="20"/>
          <w:szCs w:val="20"/>
        </w:rPr>
        <w:t xml:space="preserve">La régression logistique est l'algorithme de référence en crédit scoring retail. Ce choix n'est pas arbitraire : il repose sur des contraintes réglementaires, techniques et métier clairement identifiées.</w:t>
      </w:r>
    </w:p>
    <w:p>
      <w:pPr>
        <w:spacing w:after="80"/>
      </w:pPr>
    </w:p>
    <w:p>
      <w:pPr>
        <w:pBdr>
          <w:bottom w:val="single" w:color="CBD5E0" w:sz="2"/>
        </w:pBdr>
        <w:spacing w:after="150" w:before="300"/>
      </w:pPr>
      <w:r>
        <w:rPr>
          <w:b/>
          <w:bCs/>
          <w:color w:val="2E5B8C"/>
          <w:sz w:val="26"/>
          <w:szCs w:val="26"/>
        </w:rPr>
        <w:t xml:space="preserve">2.1 Pourquoi la Régression Logistique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Critère</w:t>
            </w:r>
          </w:p>
        </w:tc>
        <w:tc>
          <w:tcPr>
            <w:shd w:fill="2E5B8C" w:color="auto" w:val="clear"/>
            <w:tcMar>
              <w:top w:type="dxa" w:w="100"/>
              <w:left w:type="dxa" w:w="150"/>
              <w:bottom w:type="dxa" w:w="100"/>
              <w:right w:type="dxa" w:w="150"/>
            </w:tcMar>
          </w:tcPr>
          <w:p>
            <w:pPr>
              <w:jc w:val="center"/>
            </w:pPr>
            <w:r>
              <w:rPr>
                <w:b/>
                <w:bCs/>
                <w:color w:val="FFFFFF"/>
                <w:sz w:val="18"/>
                <w:szCs w:val="18"/>
              </w:rPr>
              <w:t xml:space="preserve">Régression Logistique</w:t>
            </w:r>
          </w:p>
        </w:tc>
        <w:tc>
          <w:tcPr>
            <w:shd w:fill="2E5B8C" w:color="auto" w:val="clear"/>
            <w:tcMar>
              <w:top w:type="dxa" w:w="100"/>
              <w:left w:type="dxa" w:w="150"/>
              <w:bottom w:type="dxa" w:w="100"/>
              <w:right w:type="dxa" w:w="150"/>
            </w:tcMar>
          </w:tcPr>
          <w:p>
            <w:pPr>
              <w:jc w:val="center"/>
            </w:pPr>
            <w:r>
              <w:rPr>
                <w:b/>
                <w:bCs/>
                <w:color w:val="FFFFFF"/>
                <w:sz w:val="18"/>
                <w:szCs w:val="18"/>
              </w:rPr>
              <w:t xml:space="preserve">Alternative (Random Forest, XGBoost)</w:t>
            </w:r>
          </w:p>
        </w:tc>
      </w:tr>
      <w:tr>
        <w:tc>
          <w:tcPr>
            <w:shd w:fill="FFFFFF" w:color="auto" w:val="clear"/>
            <w:tcMar>
              <w:top w:type="dxa" w:w="80"/>
              <w:left w:type="dxa" w:w="150"/>
              <w:bottom w:type="dxa" w:w="80"/>
              <w:right w:type="dxa" w:w="150"/>
            </w:tcMar>
          </w:tcPr>
          <w:p>
            <w:pPr>
              <w:jc w:val="center"/>
            </w:pPr>
            <w:r>
              <w:rPr>
                <w:color w:val="1A1A2E"/>
                <w:sz w:val="18"/>
                <w:szCs w:val="18"/>
              </w:rPr>
              <w:t xml:space="preserve">Interprétabilité</w:t>
            </w:r>
          </w:p>
        </w:tc>
        <w:tc>
          <w:tcPr>
            <w:shd w:fill="FFFFFF" w:color="auto" w:val="clear"/>
            <w:tcMar>
              <w:top w:type="dxa" w:w="80"/>
              <w:left w:type="dxa" w:w="150"/>
              <w:bottom w:type="dxa" w:w="80"/>
              <w:right w:type="dxa" w:w="150"/>
            </w:tcMar>
          </w:tcPr>
          <w:p>
            <w:pPr>
              <w:jc w:val="center"/>
            </w:pPr>
            <w:r>
              <w:rPr>
                <w:color w:val="1A1A2E"/>
                <w:sz w:val="18"/>
                <w:szCs w:val="18"/>
              </w:rPr>
              <w:t xml:space="preserve">Coefficients explicites — chaque variable a un poids lisible</w:t>
            </w:r>
          </w:p>
        </w:tc>
        <w:tc>
          <w:tcPr>
            <w:shd w:fill="FFFFFF" w:color="auto" w:val="clear"/>
            <w:tcMar>
              <w:top w:type="dxa" w:w="80"/>
              <w:left w:type="dxa" w:w="150"/>
              <w:bottom w:type="dxa" w:w="80"/>
              <w:right w:type="dxa" w:w="150"/>
            </w:tcMar>
          </w:tcPr>
          <w:p>
            <w:pPr>
              <w:jc w:val="center"/>
            </w:pPr>
            <w:r>
              <w:rPr>
                <w:color w:val="1A1A2E"/>
                <w:sz w:val="18"/>
                <w:szCs w:val="18"/>
              </w:rPr>
              <w:t xml:space="preserve">Boîte noire — SHAP requis</w:t>
            </w:r>
          </w:p>
        </w:tc>
      </w:tr>
      <w:tr>
        <w:tc>
          <w:tcPr>
            <w:shd w:fill="F5F7FA" w:color="auto" w:val="clear"/>
            <w:tcMar>
              <w:top w:type="dxa" w:w="80"/>
              <w:left w:type="dxa" w:w="150"/>
              <w:bottom w:type="dxa" w:w="80"/>
              <w:right w:type="dxa" w:w="150"/>
            </w:tcMar>
          </w:tcPr>
          <w:p>
            <w:pPr>
              <w:jc w:val="center"/>
            </w:pPr>
            <w:r>
              <w:rPr>
                <w:color w:val="1A1A2E"/>
                <w:sz w:val="18"/>
                <w:szCs w:val="18"/>
              </w:rPr>
              <w:t xml:space="preserve">Conformité Bâle II/III</w:t>
            </w:r>
          </w:p>
        </w:tc>
        <w:tc>
          <w:tcPr>
            <w:shd w:fill="F5F7FA" w:color="auto" w:val="clear"/>
            <w:tcMar>
              <w:top w:type="dxa" w:w="80"/>
              <w:left w:type="dxa" w:w="150"/>
              <w:bottom w:type="dxa" w:w="80"/>
              <w:right w:type="dxa" w:w="150"/>
            </w:tcMar>
          </w:tcPr>
          <w:p>
            <w:pPr>
              <w:jc w:val="center"/>
            </w:pPr>
            <w:r>
              <w:rPr>
                <w:color w:val="1A1A2E"/>
                <w:sz w:val="18"/>
                <w:szCs w:val="18"/>
              </w:rPr>
              <w:t xml:space="preserve">Standard réglementaire validé par les superviseurs bancaires</w:t>
            </w:r>
          </w:p>
        </w:tc>
        <w:tc>
          <w:tcPr>
            <w:shd w:fill="F5F7FA" w:color="auto" w:val="clear"/>
            <w:tcMar>
              <w:top w:type="dxa" w:w="80"/>
              <w:left w:type="dxa" w:w="150"/>
              <w:bottom w:type="dxa" w:w="80"/>
              <w:right w:type="dxa" w:w="150"/>
            </w:tcMar>
          </w:tcPr>
          <w:p>
            <w:pPr>
              <w:jc w:val="center"/>
            </w:pPr>
            <w:r>
              <w:rPr>
                <w:color w:val="1A1A2E"/>
                <w:sz w:val="18"/>
                <w:szCs w:val="18"/>
              </w:rPr>
              <w:t xml:space="preserve">Accepté mais plus difficile à justifier</w:t>
            </w:r>
          </w:p>
        </w:tc>
      </w:tr>
      <w:tr>
        <w:tc>
          <w:tcPr>
            <w:shd w:fill="FFFFFF" w:color="auto" w:val="clear"/>
            <w:tcMar>
              <w:top w:type="dxa" w:w="80"/>
              <w:left w:type="dxa" w:w="150"/>
              <w:bottom w:type="dxa" w:w="80"/>
              <w:right w:type="dxa" w:w="150"/>
            </w:tcMar>
          </w:tcPr>
          <w:p>
            <w:pPr>
              <w:jc w:val="center"/>
            </w:pPr>
            <w:r>
              <w:rPr>
                <w:color w:val="1A1A2E"/>
                <w:sz w:val="18"/>
                <w:szCs w:val="18"/>
              </w:rPr>
              <w:t xml:space="preserve">Stabilité temporelle</w:t>
            </w:r>
          </w:p>
        </w:tc>
        <w:tc>
          <w:tcPr>
            <w:shd w:fill="FFFFFF" w:color="auto" w:val="clear"/>
            <w:tcMar>
              <w:top w:type="dxa" w:w="80"/>
              <w:left w:type="dxa" w:w="150"/>
              <w:bottom w:type="dxa" w:w="80"/>
              <w:right w:type="dxa" w:w="150"/>
            </w:tcMar>
          </w:tcPr>
          <w:p>
            <w:pPr>
              <w:jc w:val="center"/>
            </w:pPr>
            <w:r>
              <w:rPr>
                <w:color w:val="1A1A2E"/>
                <w:sz w:val="18"/>
                <w:szCs w:val="18"/>
              </w:rPr>
              <w:t xml:space="preserve">Robuste aux changements de distribution (drift)</w:t>
            </w:r>
          </w:p>
        </w:tc>
        <w:tc>
          <w:tcPr>
            <w:shd w:fill="FFFFFF" w:color="auto" w:val="clear"/>
            <w:tcMar>
              <w:top w:type="dxa" w:w="80"/>
              <w:left w:type="dxa" w:w="150"/>
              <w:bottom w:type="dxa" w:w="80"/>
              <w:right w:type="dxa" w:w="150"/>
            </w:tcMar>
          </w:tcPr>
          <w:p>
            <w:pPr>
              <w:jc w:val="center"/>
            </w:pPr>
            <w:r>
              <w:rPr>
                <w:color w:val="1A1A2E"/>
                <w:sz w:val="18"/>
                <w:szCs w:val="18"/>
              </w:rPr>
              <w:t xml:space="preserve">Plus sensible au changement de comportement</w:t>
            </w:r>
          </w:p>
        </w:tc>
      </w:tr>
      <w:tr>
        <w:tc>
          <w:tcPr>
            <w:shd w:fill="F5F7FA" w:color="auto" w:val="clear"/>
            <w:tcMar>
              <w:top w:type="dxa" w:w="80"/>
              <w:left w:type="dxa" w:w="150"/>
              <w:bottom w:type="dxa" w:w="80"/>
              <w:right w:type="dxa" w:w="150"/>
            </w:tcMar>
          </w:tcPr>
          <w:p>
            <w:pPr>
              <w:jc w:val="center"/>
            </w:pPr>
            <w:r>
              <w:rPr>
                <w:color w:val="1A1A2E"/>
                <w:sz w:val="18"/>
                <w:szCs w:val="18"/>
              </w:rPr>
              <w:t xml:space="preserve">Déploiement en production</w:t>
            </w:r>
          </w:p>
        </w:tc>
        <w:tc>
          <w:tcPr>
            <w:shd w:fill="F5F7FA" w:color="auto" w:val="clear"/>
            <w:tcMar>
              <w:top w:type="dxa" w:w="80"/>
              <w:left w:type="dxa" w:w="150"/>
              <w:bottom w:type="dxa" w:w="80"/>
              <w:right w:type="dxa" w:w="150"/>
            </w:tcMar>
          </w:tcPr>
          <w:p>
            <w:pPr>
              <w:jc w:val="center"/>
            </w:pPr>
            <w:r>
              <w:rPr>
                <w:color w:val="1A1A2E"/>
                <w:sz w:val="18"/>
                <w:szCs w:val="18"/>
              </w:rPr>
              <w:t xml:space="preserve">Score = formule linéaire → intégration bancaire simple</w:t>
            </w:r>
          </w:p>
        </w:tc>
        <w:tc>
          <w:tcPr>
            <w:shd w:fill="F5F7FA" w:color="auto" w:val="clear"/>
            <w:tcMar>
              <w:top w:type="dxa" w:w="80"/>
              <w:left w:type="dxa" w:w="150"/>
              <w:bottom w:type="dxa" w:w="80"/>
              <w:right w:type="dxa" w:w="150"/>
            </w:tcMar>
          </w:tcPr>
          <w:p>
            <w:pPr>
              <w:jc w:val="center"/>
            </w:pPr>
            <w:r>
              <w:rPr>
                <w:color w:val="1A1A2E"/>
                <w:sz w:val="18"/>
                <w:szCs w:val="18"/>
              </w:rPr>
              <w:t xml:space="preserve">Modèle complexe, plus lourd à déployer</w:t>
            </w:r>
          </w:p>
        </w:tc>
      </w:tr>
      <w:tr>
        <w:tc>
          <w:tcPr>
            <w:shd w:fill="FFFFFF" w:color="auto" w:val="clear"/>
            <w:tcMar>
              <w:top w:type="dxa" w:w="80"/>
              <w:left w:type="dxa" w:w="150"/>
              <w:bottom w:type="dxa" w:w="80"/>
              <w:right w:type="dxa" w:w="150"/>
            </w:tcMar>
          </w:tcPr>
          <w:p>
            <w:pPr>
              <w:jc w:val="center"/>
            </w:pPr>
            <w:r>
              <w:rPr>
                <w:color w:val="1A1A2E"/>
                <w:sz w:val="18"/>
                <w:szCs w:val="18"/>
              </w:rPr>
              <w:t xml:space="preserve">Odds Ratios</w:t>
            </w:r>
          </w:p>
        </w:tc>
        <w:tc>
          <w:tcPr>
            <w:shd w:fill="FFFFFF" w:color="auto" w:val="clear"/>
            <w:tcMar>
              <w:top w:type="dxa" w:w="80"/>
              <w:left w:type="dxa" w:w="150"/>
              <w:bottom w:type="dxa" w:w="80"/>
              <w:right w:type="dxa" w:w="150"/>
            </w:tcMar>
          </w:tcPr>
          <w:p>
            <w:pPr>
              <w:jc w:val="center"/>
            </w:pPr>
            <w:r>
              <w:rPr>
                <w:color w:val="1A1A2E"/>
                <w:sz w:val="18"/>
                <w:szCs w:val="18"/>
              </w:rPr>
              <w:t xml:space="preserve">OR = exp(β) → lecture économique directe</w:t>
            </w:r>
          </w:p>
        </w:tc>
        <w:tc>
          <w:tcPr>
            <w:shd w:fill="FFFFFF" w:color="auto" w:val="clear"/>
            <w:tcMar>
              <w:top w:type="dxa" w:w="80"/>
              <w:left w:type="dxa" w:w="150"/>
              <w:bottom w:type="dxa" w:w="80"/>
              <w:right w:type="dxa" w:w="150"/>
            </w:tcMar>
          </w:tcPr>
          <w:p>
            <w:pPr>
              <w:jc w:val="center"/>
            </w:pPr>
            <w:r>
              <w:rPr>
                <w:color w:val="1A1A2E"/>
                <w:sz w:val="18"/>
                <w:szCs w:val="18"/>
              </w:rPr>
              <w:t xml:space="preserve">Pas d'équivalent direct</w:t>
            </w:r>
          </w:p>
        </w:tc>
      </w:tr>
    </w:tbl>
    <w:p>
      <w:pPr>
        <w:spacing w:after="120"/>
      </w:pPr>
    </w:p>
    <w:p>
      <w:pPr>
        <w:spacing w:after="100"/>
        <w:jc w:val="both"/>
      </w:pPr>
      <w:r>
        <w:rPr>
          <w:color w:val="1A1A2E"/>
          <w:sz w:val="20"/>
          <w:szCs w:val="20"/>
        </w:rPr>
        <w:t xml:space="preserve">Dans le contexte d'un audit EY, la régression logistique offre une transparence totale sur les drivers du risque, ce qui est un prérequis non négociable pour la validation des modèles de crédit.</w:t>
      </w:r>
    </w:p>
    <w:p>
      <w:pPr>
        <w:spacing w:after="200"/>
      </w:pPr>
    </w:p>
    <w:p>
      <w:pPr>
        <w:pStyle w:val="Heading1"/>
        <w:pBdr>
          <w:bottom w:val="single" w:color="F0A500" w:sz="3" w:space="4"/>
        </w:pBdr>
        <w:spacing w:after="200" w:before="400"/>
        <w:rPr>
          <w:b/>
          <w:bCs/>
          <w:color w:val="2E5B8C"/>
          <w:sz w:val="32"/>
          <w:szCs w:val="32"/>
        </w:rPr>
      </w:pPr>
      <w:r>
        <w:t xml:space="preserve">3. Paramètres du Modèle et Justifications</w:t>
      </w:r>
    </w:p>
    <w:p>
      <w:pPr>
        <w:spacing w:after="100"/>
        <w:jc w:val="both"/>
      </w:pPr>
      <w:r>
        <w:rPr>
          <w:color w:val="1A1A2E"/>
          <w:sz w:val="20"/>
          <w:szCs w:val="20"/>
        </w:rPr>
        <w:t xml:space="preserve">Le modèle a été configuré avec les paramètres suivants, chacun faisant l'objet d'une justification méthodologique rigoureuse :</w:t>
      </w:r>
    </w:p>
    <w:p>
      <w:pPr>
        <w:spacing w:after="80"/>
      </w:pPr>
    </w:p>
    <w:p>
      <w:pPr>
        <w:pBdr>
          <w:bottom w:val="single" w:color="CBD5E0" w:sz="2"/>
        </w:pBdr>
        <w:spacing w:after="150" w:before="300"/>
      </w:pPr>
      <w:r>
        <w:rPr>
          <w:b/>
          <w:bCs/>
          <w:color w:val="2E5B8C"/>
          <w:sz w:val="26"/>
          <w:szCs w:val="26"/>
        </w:rPr>
        <w:t xml:space="preserve">3.1 C = 1.0 (Régularisation L2)</w:t>
      </w:r>
    </w:p>
    <w:p>
      <w:pPr>
        <w:spacing w:after="100"/>
        <w:jc w:val="both"/>
      </w:pPr>
      <w:r>
        <w:rPr>
          <w:color w:val="1A1A2E"/>
          <w:sz w:val="20"/>
          <w:szCs w:val="20"/>
        </w:rPr>
        <w:t xml:space="preserve">Le paramètre C contrôle la force de la régularisation L2 (Ridge). C = 1/λ : plus C est petit, plus la pénalisation des coefficients est forte.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27AE60" w:sz="6"/>
              <w:left w:val="single" w:color="27AE60" w:sz="6"/>
              <w:bottom w:val="single" w:color="27AE60" w:sz="2"/>
              <w:right w:val="single" w:color="27AE60" w:sz="2"/>
            </w:tcBorders>
            <w:shd w:fill="EAFAF1" w:color="auto" w:val="clear"/>
            <w:tcMar>
              <w:top w:type="dxa" w:w="120"/>
              <w:left w:type="dxa" w:w="200"/>
              <w:bottom w:type="dxa" w:w="120"/>
              <w:right w:type="dxa" w:w="200"/>
            </w:tcMar>
          </w:tcPr>
          <w:p>
            <w:pPr>
              <w:spacing w:after="100"/>
            </w:pPr>
            <w:r>
              <w:rPr>
                <w:b/>
                <w:bCs/>
                <w:color w:val="27AE60"/>
                <w:sz w:val="20"/>
                <w:szCs w:val="20"/>
              </w:rPr>
              <w:t xml:space="preserve">Justification du choix C = 1.0</w:t>
            </w:r>
          </w:p>
          <w:p>
            <w:pPr>
              <w:spacing w:after="70"/>
            </w:pPr>
            <w:r>
              <w:rPr>
                <w:color w:val="1A1A2E"/>
                <w:sz w:val="19"/>
                <w:szCs w:val="19"/>
              </w:rPr>
              <w:t xml:space="preserve">• C = 1.0 est la valeur standard recommandée comme point de départ en crédit scoring.</w:t>
            </w:r>
          </w:p>
          <w:p>
            <w:pPr>
              <w:spacing w:after="70"/>
            </w:pPr>
            <w:r>
              <w:rPr>
                <w:color w:val="1A1A2E"/>
                <w:sz w:val="19"/>
                <w:szCs w:val="19"/>
              </w:rPr>
              <w:t xml:space="preserve">• La régularisation L2 pénalise les coefficients trop grands, évitant que le modèle ne sur-pondère</w:t>
            </w:r>
          </w:p>
          <w:p>
            <w:pPr>
              <w:spacing w:after="70"/>
            </w:pPr>
            <w:r>
              <w:rPr>
                <w:color w:val="1A1A2E"/>
                <w:sz w:val="19"/>
                <w:szCs w:val="19"/>
              </w:rPr>
              <w:t xml:space="preserve">  une variable atypique au détriment de la généralisation.</w:t>
            </w:r>
          </w:p>
          <w:p>
            <w:pPr>
              <w:spacing w:after="70"/>
            </w:pPr>
            <w:r>
              <w:rPr>
                <w:color w:val="1A1A2E"/>
                <w:sz w:val="19"/>
                <w:szCs w:val="19"/>
              </w:rPr>
              <w:t xml:space="preserve">• Un C trop faible (ex : 0.01) rendrait tous les coefficients proches de zéro → underfitting.</w:t>
            </w:r>
          </w:p>
          <w:p>
            <w:pPr>
              <w:spacing w:after="70"/>
            </w:pPr>
            <w:r>
              <w:rPr>
                <w:color w:val="1A1A2E"/>
                <w:sz w:val="19"/>
                <w:szCs w:val="19"/>
              </w:rPr>
              <w:t xml:space="preserve">• Un C trop élevé (ex : 100) élimine la régularisation → risque d'overfitting.</w:t>
            </w:r>
          </w:p>
          <w:p>
            <w:pPr>
              <w:spacing w:after="70"/>
            </w:pPr>
            <w:r>
              <w:rPr>
                <w:color w:val="1A1A2E"/>
                <w:sz w:val="19"/>
                <w:szCs w:val="19"/>
              </w:rPr>
              <w:t xml:space="preserve">• Dans le cadre d'une validation Bâle, C = 1.0 est un choix conservateur et justifiable.</w:t>
            </w:r>
          </w:p>
        </w:tc>
      </w:tr>
    </w:tbl>
    <w:p>
      <w:pPr>
        <w:spacing w:after="120"/>
      </w:pPr>
    </w:p>
    <w:p>
      <w:pPr>
        <w:pBdr>
          <w:bottom w:val="single" w:color="CBD5E0" w:sz="2"/>
        </w:pBdr>
        <w:spacing w:after="150" w:before="300"/>
      </w:pPr>
      <w:r>
        <w:rPr>
          <w:b/>
          <w:bCs/>
          <w:color w:val="2E5B8C"/>
          <w:sz w:val="26"/>
          <w:szCs w:val="26"/>
        </w:rPr>
        <w:t xml:space="preserve">3.2 class_weight = "balanced"</w:t>
      </w:r>
    </w:p>
    <w:p>
      <w:pPr>
        <w:spacing w:after="100"/>
        <w:jc w:val="both"/>
      </w:pPr>
      <w:r>
        <w:rPr>
          <w:color w:val="1A1A2E"/>
          <w:sz w:val="20"/>
          <w:szCs w:val="20"/>
        </w:rPr>
        <w:t xml:space="preserve">Le dataset présente un déséquilibre de classes : 86,63% de clients non-défaillants vs. 13,37% de clients défaillants. Sans correction, le modèle apprendrait à prédire systématiquement "non-défaut" avec 86% de précision — ce qui est inutile en crédit.</w:t>
      </w:r>
    </w:p>
    <w:p>
      <w:pPr>
        <w:spacing w:after="60"/>
      </w:pPr>
    </w:p>
    <w:p>
      <w:pPr>
        <w:spacing w:after="100"/>
        <w:jc w:val="both"/>
      </w:pPr>
      <w:r>
        <w:rPr>
          <w:color w:val="1A1A2E"/>
          <w:sz w:val="20"/>
          <w:szCs w:val="20"/>
        </w:rPr>
        <w:t xml:space="preserve">Le paramètre class_weight="balanced" applique la pondération automatique suivante :</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Classe</w:t>
            </w:r>
          </w:p>
        </w:tc>
        <w:tc>
          <w:tcPr>
            <w:shd w:fill="2E5B8C" w:color="auto" w:val="clear"/>
            <w:tcMar>
              <w:top w:type="dxa" w:w="100"/>
              <w:left w:type="dxa" w:w="150"/>
              <w:bottom w:type="dxa" w:w="100"/>
              <w:right w:type="dxa" w:w="150"/>
            </w:tcMar>
          </w:tcPr>
          <w:p>
            <w:pPr>
              <w:jc w:val="center"/>
            </w:pPr>
            <w:r>
              <w:rPr>
                <w:b/>
                <w:bCs/>
                <w:color w:val="FFFFFF"/>
                <w:sz w:val="18"/>
                <w:szCs w:val="18"/>
              </w:rPr>
              <w:t xml:space="preserve">Fréquence</w:t>
            </w:r>
          </w:p>
        </w:tc>
        <w:tc>
          <w:tcPr>
            <w:shd w:fill="2E5B8C" w:color="auto" w:val="clear"/>
            <w:tcMar>
              <w:top w:type="dxa" w:w="100"/>
              <w:left w:type="dxa" w:w="150"/>
              <w:bottom w:type="dxa" w:w="100"/>
              <w:right w:type="dxa" w:w="150"/>
            </w:tcMar>
          </w:tcPr>
          <w:p>
            <w:pPr>
              <w:jc w:val="center"/>
            </w:pPr>
            <w:r>
              <w:rPr>
                <w:b/>
                <w:bCs/>
                <w:color w:val="FFFFFF"/>
                <w:sz w:val="18"/>
                <w:szCs w:val="18"/>
              </w:rPr>
              <w:t xml:space="preserve">Poids appliqué</w:t>
            </w:r>
          </w:p>
        </w:tc>
        <w:tc>
          <w:tcPr>
            <w:shd w:fill="2E5B8C" w:color="auto" w:val="clear"/>
            <w:tcMar>
              <w:top w:type="dxa" w:w="100"/>
              <w:left w:type="dxa" w:w="150"/>
              <w:bottom w:type="dxa" w:w="100"/>
              <w:right w:type="dxa" w:w="150"/>
            </w:tcMar>
          </w:tcPr>
          <w:p>
            <w:pPr>
              <w:jc w:val="center"/>
            </w:pPr>
            <w:r>
              <w:rPr>
                <w:b/>
                <w:bCs/>
                <w:color w:val="FFFFFF"/>
                <w:sz w:val="18"/>
                <w:szCs w:val="18"/>
              </w:rPr>
              <w:t xml:space="preserve">Effet</w:t>
            </w:r>
          </w:p>
        </w:tc>
      </w:tr>
      <w:tr>
        <w:tc>
          <w:tcPr>
            <w:shd w:fill="FFFFFF" w:color="auto" w:val="clear"/>
            <w:tcMar>
              <w:top w:type="dxa" w:w="80"/>
              <w:left w:type="dxa" w:w="150"/>
              <w:bottom w:type="dxa" w:w="80"/>
              <w:right w:type="dxa" w:w="150"/>
            </w:tcMar>
          </w:tcPr>
          <w:p>
            <w:pPr>
              <w:jc w:val="center"/>
            </w:pPr>
            <w:r>
              <w:rPr>
                <w:color w:val="1A1A2E"/>
                <w:sz w:val="18"/>
                <w:szCs w:val="18"/>
              </w:rPr>
              <w:t xml:space="preserve">Non-défaut (0)</w:t>
            </w:r>
          </w:p>
        </w:tc>
        <w:tc>
          <w:tcPr>
            <w:shd w:fill="FFFFFF" w:color="auto" w:val="clear"/>
            <w:tcMar>
              <w:top w:type="dxa" w:w="80"/>
              <w:left w:type="dxa" w:w="150"/>
              <w:bottom w:type="dxa" w:w="80"/>
              <w:right w:type="dxa" w:w="150"/>
            </w:tcMar>
          </w:tcPr>
          <w:p>
            <w:pPr>
              <w:jc w:val="center"/>
            </w:pPr>
            <w:r>
              <w:rPr>
                <w:color w:val="1A1A2E"/>
                <w:sz w:val="18"/>
                <w:szCs w:val="18"/>
              </w:rPr>
              <w:t xml:space="preserve">86,63% (10 396 obs.)</w:t>
            </w:r>
          </w:p>
        </w:tc>
        <w:tc>
          <w:tcPr>
            <w:shd w:fill="FFFFFF" w:color="auto" w:val="clear"/>
            <w:tcMar>
              <w:top w:type="dxa" w:w="80"/>
              <w:left w:type="dxa" w:w="150"/>
              <w:bottom w:type="dxa" w:w="80"/>
              <w:right w:type="dxa" w:w="150"/>
            </w:tcMar>
          </w:tcPr>
          <w:p>
            <w:pPr>
              <w:jc w:val="center"/>
            </w:pPr>
            <w:r>
              <w:rPr>
                <w:color w:val="1A1A2E"/>
                <w:sz w:val="18"/>
                <w:szCs w:val="18"/>
              </w:rPr>
              <w:t xml:space="preserve">0,577</w:t>
            </w:r>
          </w:p>
        </w:tc>
        <w:tc>
          <w:tcPr>
            <w:shd w:fill="FFFFFF" w:color="auto" w:val="clear"/>
            <w:tcMar>
              <w:top w:type="dxa" w:w="80"/>
              <w:left w:type="dxa" w:w="150"/>
              <w:bottom w:type="dxa" w:w="80"/>
              <w:right w:type="dxa" w:w="150"/>
            </w:tcMar>
          </w:tcPr>
          <w:p>
            <w:pPr>
              <w:jc w:val="center"/>
            </w:pPr>
            <w:r>
              <w:rPr>
                <w:color w:val="1A1A2E"/>
                <w:sz w:val="18"/>
                <w:szCs w:val="18"/>
              </w:rPr>
              <w:t xml:space="preserve">Classe sur-représentée → sous-pondérée</w:t>
            </w:r>
          </w:p>
        </w:tc>
      </w:tr>
      <w:tr>
        <w:tc>
          <w:tcPr>
            <w:shd w:fill="F5F7FA" w:color="auto" w:val="clear"/>
            <w:tcMar>
              <w:top w:type="dxa" w:w="80"/>
              <w:left w:type="dxa" w:w="150"/>
              <w:bottom w:type="dxa" w:w="80"/>
              <w:right w:type="dxa" w:w="150"/>
            </w:tcMar>
          </w:tcPr>
          <w:p>
            <w:pPr>
              <w:jc w:val="center"/>
            </w:pPr>
            <w:r>
              <w:rPr>
                <w:color w:val="1A1A2E"/>
                <w:sz w:val="18"/>
                <w:szCs w:val="18"/>
              </w:rPr>
              <w:t xml:space="preserve">Défaut (1)</w:t>
            </w:r>
          </w:p>
        </w:tc>
        <w:tc>
          <w:tcPr>
            <w:shd w:fill="F5F7FA" w:color="auto" w:val="clear"/>
            <w:tcMar>
              <w:top w:type="dxa" w:w="80"/>
              <w:left w:type="dxa" w:w="150"/>
              <w:bottom w:type="dxa" w:w="80"/>
              <w:right w:type="dxa" w:w="150"/>
            </w:tcMar>
          </w:tcPr>
          <w:p>
            <w:pPr>
              <w:jc w:val="center"/>
            </w:pPr>
            <w:r>
              <w:rPr>
                <w:color w:val="1A1A2E"/>
                <w:sz w:val="18"/>
                <w:szCs w:val="18"/>
              </w:rPr>
              <w:t xml:space="preserve">13,37% (1 604 obs.)</w:t>
            </w:r>
          </w:p>
        </w:tc>
        <w:tc>
          <w:tcPr>
            <w:shd w:fill="F5F7FA" w:color="auto" w:val="clear"/>
            <w:tcMar>
              <w:top w:type="dxa" w:w="80"/>
              <w:left w:type="dxa" w:w="150"/>
              <w:bottom w:type="dxa" w:w="80"/>
              <w:right w:type="dxa" w:w="150"/>
            </w:tcMar>
          </w:tcPr>
          <w:p>
            <w:pPr>
              <w:jc w:val="center"/>
            </w:pPr>
            <w:r>
              <w:rPr>
                <w:color w:val="1A1A2E"/>
                <w:sz w:val="18"/>
                <w:szCs w:val="18"/>
              </w:rPr>
              <w:t xml:space="preserve">3,735</w:t>
            </w:r>
          </w:p>
        </w:tc>
        <w:tc>
          <w:tcPr>
            <w:shd w:fill="F5F7FA" w:color="auto" w:val="clear"/>
            <w:tcMar>
              <w:top w:type="dxa" w:w="80"/>
              <w:left w:type="dxa" w:w="150"/>
              <w:bottom w:type="dxa" w:w="80"/>
              <w:right w:type="dxa" w:w="150"/>
            </w:tcMar>
          </w:tcPr>
          <w:p>
            <w:pPr>
              <w:jc w:val="center"/>
            </w:pPr>
            <w:r>
              <w:rPr>
                <w:color w:val="1A1A2E"/>
                <w:sz w:val="18"/>
                <w:szCs w:val="18"/>
              </w:rPr>
              <w:t xml:space="preserve">Classe sous-représentée → sur-pondérée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E67E22" w:sz="6"/>
              <w:left w:val="single" w:color="E67E22" w:sz="6"/>
              <w:bottom w:val="single" w:color="E67E22" w:sz="2"/>
              <w:right w:val="single" w:color="E67E22" w:sz="2"/>
            </w:tcBorders>
            <w:shd w:fill="FEF9E7" w:color="auto" w:val="clear"/>
            <w:tcMar>
              <w:top w:type="dxa" w:w="120"/>
              <w:left w:type="dxa" w:w="200"/>
              <w:bottom w:type="dxa" w:w="120"/>
              <w:right w:type="dxa" w:w="200"/>
            </w:tcMar>
          </w:tcPr>
          <w:p>
            <w:pPr>
              <w:spacing w:after="100"/>
            </w:pPr>
            <w:r>
              <w:rPr>
                <w:b/>
                <w:bCs/>
                <w:color w:val="E67E22"/>
                <w:sz w:val="20"/>
                <w:szCs w:val="20"/>
              </w:rPr>
              <w:t xml:space="preserve">⚠️ Pourquoi ne pas utiliser SMOTE ou le sur-échantillonnage ?</w:t>
            </w:r>
          </w:p>
          <w:p>
            <w:pPr>
              <w:spacing w:after="70"/>
            </w:pPr>
            <w:r>
              <w:rPr>
                <w:color w:val="1A1A2E"/>
                <w:sz w:val="19"/>
                <w:szCs w:val="19"/>
              </w:rPr>
              <w:t xml:space="preserve">• SMOTE génère des observations synthétiques qui peuvent introduire du bruit dans les données.</w:t>
            </w:r>
          </w:p>
          <w:p>
            <w:pPr>
              <w:spacing w:after="70"/>
            </w:pPr>
            <w:r>
              <w:rPr>
                <w:color w:val="1A1A2E"/>
                <w:sz w:val="19"/>
                <w:szCs w:val="19"/>
              </w:rPr>
              <w:t xml:space="preserve">• class_weight="balanced" résout le déséquilibre directement dans la fonction de coût, sans modifier</w:t>
            </w:r>
          </w:p>
          <w:p>
            <w:pPr>
              <w:spacing w:after="70"/>
            </w:pPr>
            <w:r>
              <w:rPr>
                <w:color w:val="1A1A2E"/>
                <w:sz w:val="19"/>
                <w:szCs w:val="19"/>
              </w:rPr>
              <w:t xml:space="preserve">  la distribution des données réelles.</w:t>
            </w:r>
          </w:p>
          <w:p>
            <w:pPr>
              <w:spacing w:after="70"/>
            </w:pPr>
            <w:r>
              <w:rPr>
                <w:color w:val="1A1A2E"/>
                <w:sz w:val="19"/>
                <w:szCs w:val="19"/>
              </w:rPr>
              <w:t xml:space="preserve">• Pour la validation Bâle, il est préférable de garder les données originales et d'ajuster les poids :</w:t>
            </w:r>
          </w:p>
          <w:p>
            <w:pPr>
              <w:spacing w:after="70"/>
            </w:pPr>
            <w:r>
              <w:rPr>
                <w:color w:val="1A1A2E"/>
                <w:sz w:val="19"/>
                <w:szCs w:val="19"/>
              </w:rPr>
              <w:t xml:space="preserve">  les régulateurs vérifient que le modèle est entraîné sur des données représentatives du portefeuille réel.</w:t>
            </w:r>
          </w:p>
        </w:tc>
      </w:tr>
    </w:tbl>
    <w:p>
      <w:pPr>
        <w:spacing w:after="120"/>
      </w:pPr>
    </w:p>
    <w:p>
      <w:pPr>
        <w:pBdr>
          <w:bottom w:val="single" w:color="CBD5E0" w:sz="2"/>
        </w:pBdr>
        <w:spacing w:after="150" w:before="300"/>
      </w:pPr>
      <w:r>
        <w:rPr>
          <w:b/>
          <w:bCs/>
          <w:color w:val="2E5B8C"/>
          <w:sz w:val="26"/>
          <w:szCs w:val="26"/>
        </w:rPr>
        <w:t xml:space="preserve">3.3 solver = "lbfgs"</w:t>
      </w:r>
    </w:p>
    <w:p>
      <w:pPr>
        <w:spacing w:after="100"/>
        <w:jc w:val="both"/>
      </w:pPr>
      <w:r>
        <w:rPr>
          <w:color w:val="1A1A2E"/>
          <w:sz w:val="20"/>
          <w:szCs w:val="20"/>
        </w:rPr>
        <w:t xml:space="preserve">L'algorithme d'optimisation L-BFGS (Limited-memory Broyden–Fletcher–Goldfarb–Shanno) est recommandé par scikit-learn pour les modèles de régression logistique avec régularisation L2 sur des datasets de taille intermédiaire (&lt; 100 000 observations).</w:t>
      </w:r>
    </w:p>
    <w:p>
      <w:pPr>
        <w:pStyle w:val="ListParagraph"/>
        <w:numPr>
          <w:ilvl w:val="0"/>
          <w:numId w:val="1"/>
        </w:numPr>
        <w:spacing w:after="80"/>
        <w:jc w:val="both"/>
      </w:pPr>
      <w:r>
        <w:rPr>
          <w:color w:val="1A1A2E"/>
          <w:sz w:val="20"/>
          <w:szCs w:val="20"/>
        </w:rPr>
        <w:t xml:space="preserve">Convergence rapide sur des problèmes bien conditionnés (données standardisées)</w:t>
      </w:r>
    </w:p>
    <w:p>
      <w:pPr>
        <w:pStyle w:val="ListParagraph"/>
        <w:numPr>
          <w:ilvl w:val="0"/>
          <w:numId w:val="1"/>
        </w:numPr>
        <w:spacing w:after="80"/>
        <w:jc w:val="both"/>
      </w:pPr>
      <w:r>
        <w:rPr>
          <w:color w:val="1A1A2E"/>
          <w:sz w:val="20"/>
          <w:szCs w:val="20"/>
        </w:rPr>
        <w:t xml:space="preserve">Adapté à la régularisation L2 (contrairement à liblinear qui ne supporte pas multinomial L2)</w:t>
      </w:r>
    </w:p>
    <w:p>
      <w:pPr>
        <w:pStyle w:val="ListParagraph"/>
        <w:numPr>
          <w:ilvl w:val="0"/>
          <w:numId w:val="1"/>
        </w:numPr>
        <w:spacing w:after="80"/>
        <w:jc w:val="both"/>
      </w:pPr>
      <w:r>
        <w:rPr>
          <w:color w:val="1A1A2E"/>
          <w:sz w:val="20"/>
          <w:szCs w:val="20"/>
        </w:rPr>
        <w:t xml:space="preserve">Robuste aux problèmes de conditionnement numérique grâce à l'approximation Hessienne</w:t>
      </w:r>
    </w:p>
    <w:p>
      <w:pPr>
        <w:spacing w:after="120"/>
      </w:pPr>
    </w:p>
    <w:p>
      <w:pPr>
        <w:pBdr>
          <w:bottom w:val="single" w:color="CBD5E0" w:sz="2"/>
        </w:pBdr>
        <w:spacing w:after="150" w:before="300"/>
      </w:pPr>
      <w:r>
        <w:rPr>
          <w:b/>
          <w:bCs/>
          <w:color w:val="2E5B8C"/>
          <w:sz w:val="26"/>
          <w:szCs w:val="26"/>
        </w:rPr>
        <w:t xml:space="preserve">3.4 max_iter = 1000</w:t>
      </w:r>
    </w:p>
    <w:p>
      <w:pPr>
        <w:spacing w:after="100"/>
        <w:jc w:val="both"/>
      </w:pPr>
      <w:r>
        <w:rPr>
          <w:color w:val="1A1A2E"/>
          <w:sz w:val="20"/>
          <w:szCs w:val="20"/>
        </w:rPr>
        <w:t xml:space="preserve">Le nombre maximum d'itérations est fixé à 1 000 pour garantir la convergence dans tous les cas de figure. En pratique, le modèle a convergé en bien moins d'itérations, ce qui confirme que les données sont correctement préparées (StandardScaler appliqué, pas de multicolinéarité excessive).</w:t>
      </w:r>
    </w:p>
    <w:p>
      <w:pPr>
        <w:spacing w:after="200"/>
      </w:pPr>
    </w:p>
    <w:p>
      <w:pPr>
        <w:pStyle w:val="Heading1"/>
        <w:pBdr>
          <w:bottom w:val="single" w:color="F0A500" w:sz="3" w:space="4"/>
        </w:pBdr>
        <w:spacing w:after="200" w:before="400"/>
        <w:rPr>
          <w:b/>
          <w:bCs/>
          <w:color w:val="2E5B8C"/>
          <w:sz w:val="32"/>
          <w:szCs w:val="32"/>
        </w:rPr>
      </w:pPr>
      <w:r>
        <w:t xml:space="preserve">4. Entraînement du Modèle</w:t>
      </w:r>
    </w:p>
    <w:p>
      <w:pPr>
        <w:pBdr>
          <w:bottom w:val="single" w:color="CBD5E0" w:sz="2"/>
        </w:pBdr>
        <w:spacing w:after="150" w:before="300"/>
      </w:pPr>
      <w:r>
        <w:rPr>
          <w:b/>
          <w:bCs/>
          <w:color w:val="2E5B8C"/>
          <w:sz w:val="26"/>
          <w:szCs w:val="26"/>
        </w:rPr>
        <w:t xml:space="preserve">4.1 Données d'entrée</w:t>
      </w:r>
    </w:p>
    <w:p>
      <w:pPr>
        <w:spacing w:after="100"/>
        <w:jc w:val="both"/>
      </w:pPr>
      <w:r>
        <w:rPr>
          <w:color w:val="1A1A2E"/>
          <w:sz w:val="20"/>
          <w:szCs w:val="20"/>
        </w:rPr>
        <w:t xml:space="preserve">Le modèle est entraîné sur les données issues de la Partie 2 (Preprocessing), déjà disponibles sous forme d'artefacts sauvegardés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Ensemble</w:t>
            </w:r>
          </w:p>
        </w:tc>
        <w:tc>
          <w:tcPr>
            <w:shd w:fill="2E5B8C" w:color="auto" w:val="clear"/>
            <w:tcMar>
              <w:top w:type="dxa" w:w="100"/>
              <w:left w:type="dxa" w:w="150"/>
              <w:bottom w:type="dxa" w:w="100"/>
              <w:right w:type="dxa" w:w="150"/>
            </w:tcMar>
          </w:tcPr>
          <w:p>
            <w:pPr>
              <w:jc w:val="center"/>
            </w:pPr>
            <w:r>
              <w:rPr>
                <w:b/>
                <w:bCs/>
                <w:color w:val="FFFFFF"/>
                <w:sz w:val="18"/>
                <w:szCs w:val="18"/>
              </w:rPr>
              <w:t xml:space="preserve">Observations</w:t>
            </w:r>
          </w:p>
        </w:tc>
        <w:tc>
          <w:tcPr>
            <w:shd w:fill="2E5B8C" w:color="auto" w:val="clear"/>
            <w:tcMar>
              <w:top w:type="dxa" w:w="100"/>
              <w:left w:type="dxa" w:w="150"/>
              <w:bottom w:type="dxa" w:w="100"/>
              <w:right w:type="dxa" w:w="150"/>
            </w:tcMar>
          </w:tcPr>
          <w:p>
            <w:pPr>
              <w:jc w:val="center"/>
            </w:pPr>
            <w:r>
              <w:rPr>
                <w:b/>
                <w:bCs/>
                <w:color w:val="FFFFFF"/>
                <w:sz w:val="18"/>
                <w:szCs w:val="18"/>
              </w:rPr>
              <w:t xml:space="preserve">Features</w:t>
            </w:r>
          </w:p>
        </w:tc>
        <w:tc>
          <w:tcPr>
            <w:shd w:fill="2E5B8C" w:color="auto" w:val="clear"/>
            <w:tcMar>
              <w:top w:type="dxa" w:w="100"/>
              <w:left w:type="dxa" w:w="150"/>
              <w:bottom w:type="dxa" w:w="100"/>
              <w:right w:type="dxa" w:w="150"/>
            </w:tcMar>
          </w:tcPr>
          <w:p>
            <w:pPr>
              <w:jc w:val="center"/>
            </w:pPr>
            <w:r>
              <w:rPr>
                <w:b/>
                <w:bCs/>
                <w:color w:val="FFFFFF"/>
                <w:sz w:val="18"/>
                <w:szCs w:val="18"/>
              </w:rPr>
              <w:t xml:space="preserve">Taux de défaut</w:t>
            </w:r>
          </w:p>
        </w:tc>
      </w:tr>
      <w:tr>
        <w:tc>
          <w:tcPr>
            <w:shd w:fill="FFFFFF" w:color="auto" w:val="clear"/>
            <w:tcMar>
              <w:top w:type="dxa" w:w="80"/>
              <w:left w:type="dxa" w:w="150"/>
              <w:bottom w:type="dxa" w:w="80"/>
              <w:right w:type="dxa" w:w="150"/>
            </w:tcMar>
          </w:tcPr>
          <w:p>
            <w:pPr>
              <w:jc w:val="center"/>
            </w:pPr>
            <w:r>
              <w:rPr>
                <w:color w:val="1A1A2E"/>
                <w:sz w:val="18"/>
                <w:szCs w:val="18"/>
              </w:rPr>
              <w:t xml:space="preserve">Train (80%)</w:t>
            </w:r>
          </w:p>
        </w:tc>
        <w:tc>
          <w:tcPr>
            <w:shd w:fill="FFFFFF" w:color="auto" w:val="clear"/>
            <w:tcMar>
              <w:top w:type="dxa" w:w="80"/>
              <w:left w:type="dxa" w:w="150"/>
              <w:bottom w:type="dxa" w:w="80"/>
              <w:right w:type="dxa" w:w="150"/>
            </w:tcMar>
          </w:tcPr>
          <w:p>
            <w:pPr>
              <w:jc w:val="center"/>
            </w:pPr>
            <w:r>
              <w:rPr>
                <w:color w:val="1A1A2E"/>
                <w:sz w:val="18"/>
                <w:szCs w:val="18"/>
              </w:rPr>
              <w:t xml:space="preserve">9 600</w:t>
            </w:r>
          </w:p>
        </w:tc>
        <w:tc>
          <w:tcPr>
            <w:shd w:fill="FFFFFF" w:color="auto" w:val="clear"/>
            <w:tcMar>
              <w:top w:type="dxa" w:w="80"/>
              <w:left w:type="dxa" w:w="150"/>
              <w:bottom w:type="dxa" w:w="80"/>
              <w:right w:type="dxa" w:w="150"/>
            </w:tcMar>
          </w:tcPr>
          <w:p>
            <w:pPr>
              <w:jc w:val="center"/>
            </w:pPr>
            <w:r>
              <w:rPr>
                <w:color w:val="1A1A2E"/>
                <w:sz w:val="18"/>
                <w:szCs w:val="18"/>
              </w:rPr>
              <w:t xml:space="preserve">13</w:t>
            </w:r>
          </w:p>
        </w:tc>
        <w:tc>
          <w:tcPr>
            <w:shd w:fill="FFFFFF" w:color="auto" w:val="clear"/>
            <w:tcMar>
              <w:top w:type="dxa" w:w="80"/>
              <w:left w:type="dxa" w:w="150"/>
              <w:bottom w:type="dxa" w:w="80"/>
              <w:right w:type="dxa" w:w="150"/>
            </w:tcMar>
          </w:tcPr>
          <w:p>
            <w:pPr>
              <w:jc w:val="center"/>
            </w:pPr>
            <w:r>
              <w:rPr>
                <w:color w:val="1A1A2E"/>
                <w:sz w:val="18"/>
                <w:szCs w:val="18"/>
              </w:rPr>
              <w:t xml:space="preserve">13,36%</w:t>
            </w:r>
          </w:p>
        </w:tc>
      </w:tr>
      <w:tr>
        <w:tc>
          <w:tcPr>
            <w:shd w:fill="F5F7FA" w:color="auto" w:val="clear"/>
            <w:tcMar>
              <w:top w:type="dxa" w:w="80"/>
              <w:left w:type="dxa" w:w="150"/>
              <w:bottom w:type="dxa" w:w="80"/>
              <w:right w:type="dxa" w:w="150"/>
            </w:tcMar>
          </w:tcPr>
          <w:p>
            <w:pPr>
              <w:jc w:val="center"/>
            </w:pPr>
            <w:r>
              <w:rPr>
                <w:color w:val="1A1A2E"/>
                <w:sz w:val="18"/>
                <w:szCs w:val="18"/>
              </w:rPr>
              <w:t xml:space="preserve">Test (20%)</w:t>
            </w:r>
          </w:p>
        </w:tc>
        <w:tc>
          <w:tcPr>
            <w:shd w:fill="F5F7FA" w:color="auto" w:val="clear"/>
            <w:tcMar>
              <w:top w:type="dxa" w:w="80"/>
              <w:left w:type="dxa" w:w="150"/>
              <w:bottom w:type="dxa" w:w="80"/>
              <w:right w:type="dxa" w:w="150"/>
            </w:tcMar>
          </w:tcPr>
          <w:p>
            <w:pPr>
              <w:jc w:val="center"/>
            </w:pPr>
            <w:r>
              <w:rPr>
                <w:color w:val="1A1A2E"/>
                <w:sz w:val="18"/>
                <w:szCs w:val="18"/>
              </w:rPr>
              <w:t xml:space="preserve">2 400</w:t>
            </w:r>
          </w:p>
        </w:tc>
        <w:tc>
          <w:tcPr>
            <w:shd w:fill="F5F7FA" w:color="auto" w:val="clear"/>
            <w:tcMar>
              <w:top w:type="dxa" w:w="80"/>
              <w:left w:type="dxa" w:w="150"/>
              <w:bottom w:type="dxa" w:w="80"/>
              <w:right w:type="dxa" w:w="150"/>
            </w:tcMar>
          </w:tcPr>
          <w:p>
            <w:pPr>
              <w:jc w:val="center"/>
            </w:pPr>
            <w:r>
              <w:rPr>
                <w:color w:val="1A1A2E"/>
                <w:sz w:val="18"/>
                <w:szCs w:val="18"/>
              </w:rPr>
              <w:t xml:space="preserve">13</w:t>
            </w:r>
          </w:p>
        </w:tc>
        <w:tc>
          <w:tcPr>
            <w:shd w:fill="F5F7FA" w:color="auto" w:val="clear"/>
            <w:tcMar>
              <w:top w:type="dxa" w:w="80"/>
              <w:left w:type="dxa" w:w="150"/>
              <w:bottom w:type="dxa" w:w="80"/>
              <w:right w:type="dxa" w:w="150"/>
            </w:tcMar>
          </w:tcPr>
          <w:p>
            <w:pPr>
              <w:jc w:val="center"/>
            </w:pPr>
            <w:r>
              <w:rPr>
                <w:color w:val="1A1A2E"/>
                <w:sz w:val="18"/>
                <w:szCs w:val="18"/>
              </w:rPr>
              <w:t xml:space="preserve">13,38%</w:t>
            </w:r>
          </w:p>
        </w:tc>
      </w:tr>
    </w:tbl>
    <w:p>
      <w:pPr>
        <w:spacing w:after="120"/>
      </w:pPr>
    </w:p>
    <w:p>
      <w:pPr>
        <w:spacing w:after="100"/>
        <w:jc w:val="both"/>
      </w:pPr>
      <w:r>
        <w:rPr>
          <w:color w:val="1A1A2E"/>
          <w:sz w:val="20"/>
          <w:szCs w:val="20"/>
        </w:rPr>
        <w:t xml:space="preserve">Les 13 features finales sont les suivantes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w:t>
            </w:r>
          </w:p>
        </w:tc>
        <w:tc>
          <w:tcPr>
            <w:shd w:fill="2E5B8C" w:color="auto" w:val="clear"/>
            <w:tcMar>
              <w:top w:type="dxa" w:w="100"/>
              <w:left w:type="dxa" w:w="150"/>
              <w:bottom w:type="dxa" w:w="100"/>
              <w:right w:type="dxa" w:w="150"/>
            </w:tcMar>
          </w:tcPr>
          <w:p>
            <w:pPr>
              <w:jc w:val="center"/>
            </w:pPr>
            <w:r>
              <w:rPr>
                <w:b/>
                <w:bCs/>
                <w:color w:val="FFFFFF"/>
                <w:sz w:val="18"/>
                <w:szCs w:val="18"/>
              </w:rPr>
              <w:t xml:space="preserve">Variable</w:t>
            </w:r>
          </w:p>
        </w:tc>
        <w:tc>
          <w:tcPr>
            <w:shd w:fill="2E5B8C" w:color="auto" w:val="clear"/>
            <w:tcMar>
              <w:top w:type="dxa" w:w="100"/>
              <w:left w:type="dxa" w:w="150"/>
              <w:bottom w:type="dxa" w:w="100"/>
              <w:right w:type="dxa" w:w="150"/>
            </w:tcMar>
          </w:tcPr>
          <w:p>
            <w:pPr>
              <w:jc w:val="center"/>
            </w:pPr>
            <w:r>
              <w:rPr>
                <w:b/>
                <w:bCs/>
                <w:color w:val="FFFFFF"/>
                <w:sz w:val="18"/>
                <w:szCs w:val="18"/>
              </w:rPr>
              <w:t xml:space="preserve">Type</w:t>
            </w:r>
          </w:p>
        </w:tc>
        <w:tc>
          <w:tcPr>
            <w:shd w:fill="2E5B8C" w:color="auto" w:val="clear"/>
            <w:tcMar>
              <w:top w:type="dxa" w:w="100"/>
              <w:left w:type="dxa" w:w="150"/>
              <w:bottom w:type="dxa" w:w="100"/>
              <w:right w:type="dxa" w:w="150"/>
            </w:tcMar>
          </w:tcPr>
          <w:p>
            <w:pPr>
              <w:jc w:val="center"/>
            </w:pPr>
            <w:r>
              <w:rPr>
                <w:b/>
                <w:bCs/>
                <w:color w:val="FFFFFF"/>
                <w:sz w:val="18"/>
                <w:szCs w:val="18"/>
              </w:rPr>
              <w:t xml:space="preserve">Transformation appliquée</w:t>
            </w:r>
          </w:p>
        </w:tc>
      </w:tr>
      <w:tr>
        <w:tc>
          <w:tcPr>
            <w:shd w:fill="FFFFFF" w:color="auto" w:val="clear"/>
            <w:tcMar>
              <w:top w:type="dxa" w:w="80"/>
              <w:left w:type="dxa" w:w="150"/>
              <w:bottom w:type="dxa" w:w="80"/>
              <w:right w:type="dxa" w:w="150"/>
            </w:tcMar>
          </w:tcPr>
          <w:p>
            <w:pPr>
              <w:jc w:val="center"/>
            </w:pPr>
            <w:r>
              <w:rPr>
                <w:color w:val="1A1A2E"/>
                <w:sz w:val="18"/>
                <w:szCs w:val="18"/>
              </w:rPr>
              <w:t xml:space="preserve">1</w:t>
            </w:r>
          </w:p>
        </w:tc>
        <w:tc>
          <w:tcPr>
            <w:shd w:fill="FFFFFF" w:color="auto" w:val="clear"/>
            <w:tcMar>
              <w:top w:type="dxa" w:w="80"/>
              <w:left w:type="dxa" w:w="150"/>
              <w:bottom w:type="dxa" w:w="80"/>
              <w:right w:type="dxa" w:w="150"/>
            </w:tcMar>
          </w:tcPr>
          <w:p>
            <w:pPr>
              <w:jc w:val="center"/>
            </w:pPr>
            <w:r>
              <w:rPr>
                <w:color w:val="1A1A2E"/>
                <w:sz w:val="18"/>
                <w:szCs w:val="18"/>
              </w:rPr>
              <w:t xml:space="preserve">bureau_score</w:t>
            </w:r>
          </w:p>
        </w:tc>
        <w:tc>
          <w:tcPr>
            <w:shd w:fill="FFFFFF" w:color="auto" w:val="clear"/>
            <w:tcMar>
              <w:top w:type="dxa" w:w="80"/>
              <w:left w:type="dxa" w:w="150"/>
              <w:bottom w:type="dxa" w:w="80"/>
              <w:right w:type="dxa" w:w="150"/>
            </w:tcMar>
          </w:tcPr>
          <w:p>
            <w:pPr>
              <w:jc w:val="center"/>
            </w:pPr>
            <w:r>
              <w:rPr>
                <w:color w:val="1A1A2E"/>
                <w:sz w:val="18"/>
                <w:szCs w:val="18"/>
              </w:rPr>
              <w:t xml:space="preserve">Numérique</w:t>
            </w:r>
          </w:p>
        </w:tc>
        <w:tc>
          <w:tcPr>
            <w:shd w:fill="FFFFFF" w:color="auto" w:val="clear"/>
            <w:tcMar>
              <w:top w:type="dxa" w:w="80"/>
              <w:left w:type="dxa" w:w="150"/>
              <w:bottom w:type="dxa" w:w="80"/>
              <w:right w:type="dxa" w:w="150"/>
            </w:tcMar>
          </w:tcPr>
          <w:p>
            <w:pPr>
              <w:jc w:val="center"/>
            </w:pPr>
            <w:r>
              <w:rPr>
                <w:color w:val="1A1A2E"/>
                <w:sz w:val="18"/>
                <w:szCs w:val="18"/>
              </w:rPr>
              <w:t xml:space="preserve">Imputation médiane + StandardScaler</w:t>
            </w:r>
          </w:p>
        </w:tc>
      </w:tr>
      <w:tr>
        <w:tc>
          <w:tcPr>
            <w:shd w:fill="F5F7FA" w:color="auto" w:val="clear"/>
            <w:tcMar>
              <w:top w:type="dxa" w:w="80"/>
              <w:left w:type="dxa" w:w="150"/>
              <w:bottom w:type="dxa" w:w="80"/>
              <w:right w:type="dxa" w:w="150"/>
            </w:tcMar>
          </w:tcPr>
          <w:p>
            <w:pPr>
              <w:jc w:val="center"/>
            </w:pPr>
            <w:r>
              <w:rPr>
                <w:color w:val="1A1A2E"/>
                <w:sz w:val="18"/>
                <w:szCs w:val="18"/>
              </w:rPr>
              <w:t xml:space="preserve">2</w:t>
            </w:r>
          </w:p>
        </w:tc>
        <w:tc>
          <w:tcPr>
            <w:shd w:fill="F5F7FA" w:color="auto" w:val="clear"/>
            <w:tcMar>
              <w:top w:type="dxa" w:w="80"/>
              <w:left w:type="dxa" w:w="150"/>
              <w:bottom w:type="dxa" w:w="80"/>
              <w:right w:type="dxa" w:w="150"/>
            </w:tcMar>
          </w:tcPr>
          <w:p>
            <w:pPr>
              <w:jc w:val="center"/>
            </w:pPr>
            <w:r>
              <w:rPr>
                <w:color w:val="1A1A2E"/>
                <w:sz w:val="18"/>
                <w:szCs w:val="18"/>
              </w:rPr>
              <w:t xml:space="preserve">monthly_income</w:t>
            </w:r>
          </w:p>
        </w:tc>
        <w:tc>
          <w:tcPr>
            <w:shd w:fill="F5F7FA" w:color="auto" w:val="clear"/>
            <w:tcMar>
              <w:top w:type="dxa" w:w="80"/>
              <w:left w:type="dxa" w:w="150"/>
              <w:bottom w:type="dxa" w:w="80"/>
              <w:right w:type="dxa" w:w="150"/>
            </w:tcMar>
          </w:tcPr>
          <w:p>
            <w:pPr>
              <w:jc w:val="center"/>
            </w:pPr>
            <w:r>
              <w:rPr>
                <w:color w:val="1A1A2E"/>
                <w:sz w:val="18"/>
                <w:szCs w:val="18"/>
              </w:rPr>
              <w:t xml:space="preserve">Numérique</w:t>
            </w:r>
          </w:p>
        </w:tc>
        <w:tc>
          <w:tcPr>
            <w:shd w:fill="F5F7FA" w:color="auto" w:val="clear"/>
            <w:tcMar>
              <w:top w:type="dxa" w:w="80"/>
              <w:left w:type="dxa" w:w="150"/>
              <w:bottom w:type="dxa" w:w="80"/>
              <w:right w:type="dxa" w:w="150"/>
            </w:tcMar>
          </w:tcPr>
          <w:p>
            <w:pPr>
              <w:jc w:val="center"/>
            </w:pPr>
            <w:r>
              <w:rPr>
                <w:color w:val="1A1A2E"/>
                <w:sz w:val="18"/>
                <w:szCs w:val="18"/>
              </w:rPr>
              <w:t xml:space="preserve">Imputation médiane + Capping P99 + StandardScaler</w:t>
            </w:r>
          </w:p>
        </w:tc>
      </w:tr>
      <w:tr>
        <w:tc>
          <w:tcPr>
            <w:shd w:fill="FFFFFF" w:color="auto" w:val="clear"/>
            <w:tcMar>
              <w:top w:type="dxa" w:w="80"/>
              <w:left w:type="dxa" w:w="150"/>
              <w:bottom w:type="dxa" w:w="80"/>
              <w:right w:type="dxa" w:w="150"/>
            </w:tcMar>
          </w:tcPr>
          <w:p>
            <w:pPr>
              <w:jc w:val="center"/>
            </w:pPr>
            <w:r>
              <w:rPr>
                <w:color w:val="1A1A2E"/>
                <w:sz w:val="18"/>
                <w:szCs w:val="18"/>
              </w:rPr>
              <w:t xml:space="preserve">3</w:t>
            </w:r>
          </w:p>
        </w:tc>
        <w:tc>
          <w:tcPr>
            <w:shd w:fill="FFFFFF" w:color="auto" w:val="clear"/>
            <w:tcMar>
              <w:top w:type="dxa" w:w="80"/>
              <w:left w:type="dxa" w:w="150"/>
              <w:bottom w:type="dxa" w:w="80"/>
              <w:right w:type="dxa" w:w="150"/>
            </w:tcMar>
          </w:tcPr>
          <w:p>
            <w:pPr>
              <w:jc w:val="center"/>
            </w:pPr>
            <w:r>
              <w:rPr>
                <w:color w:val="1A1A2E"/>
                <w:sz w:val="18"/>
                <w:szCs w:val="18"/>
              </w:rPr>
              <w:t xml:space="preserve">dti</w:t>
            </w:r>
          </w:p>
        </w:tc>
        <w:tc>
          <w:tcPr>
            <w:shd w:fill="FFFFFF" w:color="auto" w:val="clear"/>
            <w:tcMar>
              <w:top w:type="dxa" w:w="80"/>
              <w:left w:type="dxa" w:w="150"/>
              <w:bottom w:type="dxa" w:w="80"/>
              <w:right w:type="dxa" w:w="150"/>
            </w:tcMar>
          </w:tcPr>
          <w:p>
            <w:pPr>
              <w:jc w:val="center"/>
            </w:pPr>
            <w:r>
              <w:rPr>
                <w:color w:val="1A1A2E"/>
                <w:sz w:val="18"/>
                <w:szCs w:val="18"/>
              </w:rPr>
              <w:t xml:space="preserve">Numérique</w:t>
            </w:r>
          </w:p>
        </w:tc>
        <w:tc>
          <w:tcPr>
            <w:shd w:fill="FFFFFF" w:color="auto" w:val="clear"/>
            <w:tcMar>
              <w:top w:type="dxa" w:w="80"/>
              <w:left w:type="dxa" w:w="150"/>
              <w:bottom w:type="dxa" w:w="80"/>
              <w:right w:type="dxa" w:w="150"/>
            </w:tcMar>
          </w:tcPr>
          <w:p>
            <w:pPr>
              <w:jc w:val="center"/>
            </w:pPr>
            <w:r>
              <w:rPr>
                <w:color w:val="1A1A2E"/>
                <w:sz w:val="18"/>
                <w:szCs w:val="18"/>
              </w:rPr>
              <w:t xml:space="preserve">Capping P99 + StandardScaler</w:t>
            </w:r>
          </w:p>
        </w:tc>
      </w:tr>
      <w:tr>
        <w:tc>
          <w:tcPr>
            <w:shd w:fill="F5F7FA" w:color="auto" w:val="clear"/>
            <w:tcMar>
              <w:top w:type="dxa" w:w="80"/>
              <w:left w:type="dxa" w:w="150"/>
              <w:bottom w:type="dxa" w:w="80"/>
              <w:right w:type="dxa" w:w="150"/>
            </w:tcMar>
          </w:tcPr>
          <w:p>
            <w:pPr>
              <w:jc w:val="center"/>
            </w:pPr>
            <w:r>
              <w:rPr>
                <w:color w:val="1A1A2E"/>
                <w:sz w:val="18"/>
                <w:szCs w:val="18"/>
              </w:rPr>
              <w:t xml:space="preserve">4</w:t>
            </w:r>
          </w:p>
        </w:tc>
        <w:tc>
          <w:tcPr>
            <w:shd w:fill="F5F7FA" w:color="auto" w:val="clear"/>
            <w:tcMar>
              <w:top w:type="dxa" w:w="80"/>
              <w:left w:type="dxa" w:w="150"/>
              <w:bottom w:type="dxa" w:w="80"/>
              <w:right w:type="dxa" w:w="150"/>
            </w:tcMar>
          </w:tcPr>
          <w:p>
            <w:pPr>
              <w:jc w:val="center"/>
            </w:pPr>
            <w:r>
              <w:rPr>
                <w:color w:val="1A1A2E"/>
                <w:sz w:val="18"/>
                <w:szCs w:val="18"/>
              </w:rPr>
              <w:t xml:space="preserve">utilization_rate</w:t>
            </w:r>
          </w:p>
        </w:tc>
        <w:tc>
          <w:tcPr>
            <w:shd w:fill="F5F7FA" w:color="auto" w:val="clear"/>
            <w:tcMar>
              <w:top w:type="dxa" w:w="80"/>
              <w:left w:type="dxa" w:w="150"/>
              <w:bottom w:type="dxa" w:w="80"/>
              <w:right w:type="dxa" w:w="150"/>
            </w:tcMar>
          </w:tcPr>
          <w:p>
            <w:pPr>
              <w:jc w:val="center"/>
            </w:pPr>
            <w:r>
              <w:rPr>
                <w:color w:val="1A1A2E"/>
                <w:sz w:val="18"/>
                <w:szCs w:val="18"/>
              </w:rPr>
              <w:t xml:space="preserve">Numérique</w:t>
            </w:r>
          </w:p>
        </w:tc>
        <w:tc>
          <w:tcPr>
            <w:shd w:fill="F5F7FA" w:color="auto" w:val="clear"/>
            <w:tcMar>
              <w:top w:type="dxa" w:w="80"/>
              <w:left w:type="dxa" w:w="150"/>
              <w:bottom w:type="dxa" w:w="80"/>
              <w:right w:type="dxa" w:w="150"/>
            </w:tcMar>
          </w:tcPr>
          <w:p>
            <w:pPr>
              <w:jc w:val="center"/>
            </w:pPr>
            <w:r>
              <w:rPr>
                <w:color w:val="1A1A2E"/>
                <w:sz w:val="18"/>
                <w:szCs w:val="18"/>
              </w:rPr>
              <w:t xml:space="preserve">Capping P99 + StandardScaler</w:t>
            </w:r>
          </w:p>
        </w:tc>
      </w:tr>
      <w:tr>
        <w:tc>
          <w:tcPr>
            <w:shd w:fill="FFFFFF" w:color="auto" w:val="clear"/>
            <w:tcMar>
              <w:top w:type="dxa" w:w="80"/>
              <w:left w:type="dxa" w:w="150"/>
              <w:bottom w:type="dxa" w:w="80"/>
              <w:right w:type="dxa" w:w="150"/>
            </w:tcMar>
          </w:tcPr>
          <w:p>
            <w:pPr>
              <w:jc w:val="center"/>
            </w:pPr>
            <w:r>
              <w:rPr>
                <w:color w:val="1A1A2E"/>
                <w:sz w:val="18"/>
                <w:szCs w:val="18"/>
              </w:rPr>
              <w:t xml:space="preserve">5</w:t>
            </w:r>
          </w:p>
        </w:tc>
        <w:tc>
          <w:tcPr>
            <w:shd w:fill="FFFFFF" w:color="auto" w:val="clear"/>
            <w:tcMar>
              <w:top w:type="dxa" w:w="80"/>
              <w:left w:type="dxa" w:w="150"/>
              <w:bottom w:type="dxa" w:w="80"/>
              <w:right w:type="dxa" w:w="150"/>
            </w:tcMar>
          </w:tcPr>
          <w:p>
            <w:pPr>
              <w:jc w:val="center"/>
            </w:pPr>
            <w:r>
              <w:rPr>
                <w:color w:val="1A1A2E"/>
                <w:sz w:val="18"/>
                <w:szCs w:val="18"/>
              </w:rPr>
              <w:t xml:space="preserve">num_credit_lines</w:t>
            </w:r>
          </w:p>
        </w:tc>
        <w:tc>
          <w:tcPr>
            <w:shd w:fill="FFFFFF" w:color="auto" w:val="clear"/>
            <w:tcMar>
              <w:top w:type="dxa" w:w="80"/>
              <w:left w:type="dxa" w:w="150"/>
              <w:bottom w:type="dxa" w:w="80"/>
              <w:right w:type="dxa" w:w="150"/>
            </w:tcMar>
          </w:tcPr>
          <w:p>
            <w:pPr>
              <w:jc w:val="center"/>
            </w:pPr>
            <w:r>
              <w:rPr>
                <w:color w:val="1A1A2E"/>
                <w:sz w:val="18"/>
                <w:szCs w:val="18"/>
              </w:rPr>
              <w:t xml:space="preserve">Numérique</w:t>
            </w:r>
          </w:p>
        </w:tc>
        <w:tc>
          <w:tcPr>
            <w:shd w:fill="FFFFFF" w:color="auto" w:val="clear"/>
            <w:tcMar>
              <w:top w:type="dxa" w:w="80"/>
              <w:left w:type="dxa" w:w="150"/>
              <w:bottom w:type="dxa" w:w="80"/>
              <w:right w:type="dxa" w:w="150"/>
            </w:tcMar>
          </w:tcPr>
          <w:p>
            <w:pPr>
              <w:jc w:val="center"/>
            </w:pPr>
            <w:r>
              <w:rPr>
                <w:color w:val="1A1A2E"/>
                <w:sz w:val="18"/>
                <w:szCs w:val="18"/>
              </w:rPr>
              <w:t xml:space="preserve">StandardScaler</w:t>
            </w:r>
          </w:p>
        </w:tc>
      </w:tr>
      <w:tr>
        <w:tc>
          <w:tcPr>
            <w:shd w:fill="F5F7FA" w:color="auto" w:val="clear"/>
            <w:tcMar>
              <w:top w:type="dxa" w:w="80"/>
              <w:left w:type="dxa" w:w="150"/>
              <w:bottom w:type="dxa" w:w="80"/>
              <w:right w:type="dxa" w:w="150"/>
            </w:tcMar>
          </w:tcPr>
          <w:p>
            <w:pPr>
              <w:jc w:val="center"/>
            </w:pPr>
            <w:r>
              <w:rPr>
                <w:color w:val="1A1A2E"/>
                <w:sz w:val="18"/>
                <w:szCs w:val="18"/>
              </w:rPr>
              <w:t xml:space="preserve">6</w:t>
            </w:r>
          </w:p>
        </w:tc>
        <w:tc>
          <w:tcPr>
            <w:shd w:fill="F5F7FA" w:color="auto" w:val="clear"/>
            <w:tcMar>
              <w:top w:type="dxa" w:w="80"/>
              <w:left w:type="dxa" w:w="150"/>
              <w:bottom w:type="dxa" w:w="80"/>
              <w:right w:type="dxa" w:w="150"/>
            </w:tcMar>
          </w:tcPr>
          <w:p>
            <w:pPr>
              <w:jc w:val="center"/>
            </w:pPr>
            <w:r>
              <w:rPr>
                <w:color w:val="1A1A2E"/>
                <w:sz w:val="18"/>
                <w:szCs w:val="18"/>
              </w:rPr>
              <w:t xml:space="preserve">missed_payments_3m</w:t>
            </w:r>
          </w:p>
        </w:tc>
        <w:tc>
          <w:tcPr>
            <w:shd w:fill="F5F7FA" w:color="auto" w:val="clear"/>
            <w:tcMar>
              <w:top w:type="dxa" w:w="80"/>
              <w:left w:type="dxa" w:w="150"/>
              <w:bottom w:type="dxa" w:w="80"/>
              <w:right w:type="dxa" w:w="150"/>
            </w:tcMar>
          </w:tcPr>
          <w:p>
            <w:pPr>
              <w:jc w:val="center"/>
            </w:pPr>
            <w:r>
              <w:rPr>
                <w:color w:val="1A1A2E"/>
                <w:sz w:val="18"/>
                <w:szCs w:val="18"/>
              </w:rPr>
              <w:t xml:space="preserve">Numérique</w:t>
            </w:r>
          </w:p>
        </w:tc>
        <w:tc>
          <w:tcPr>
            <w:shd w:fill="F5F7FA" w:color="auto" w:val="clear"/>
            <w:tcMar>
              <w:top w:type="dxa" w:w="80"/>
              <w:left w:type="dxa" w:w="150"/>
              <w:bottom w:type="dxa" w:w="80"/>
              <w:right w:type="dxa" w:w="150"/>
            </w:tcMar>
          </w:tcPr>
          <w:p>
            <w:pPr>
              <w:jc w:val="center"/>
            </w:pPr>
            <w:r>
              <w:rPr>
                <w:color w:val="1A1A2E"/>
                <w:sz w:val="18"/>
                <w:szCs w:val="18"/>
              </w:rPr>
              <w:t xml:space="preserve">StandardScaler</w:t>
            </w:r>
          </w:p>
        </w:tc>
      </w:tr>
      <w:tr>
        <w:tc>
          <w:tcPr>
            <w:shd w:fill="FFFFFF" w:color="auto" w:val="clear"/>
            <w:tcMar>
              <w:top w:type="dxa" w:w="80"/>
              <w:left w:type="dxa" w:w="150"/>
              <w:bottom w:type="dxa" w:w="80"/>
              <w:right w:type="dxa" w:w="150"/>
            </w:tcMar>
          </w:tcPr>
          <w:p>
            <w:pPr>
              <w:jc w:val="center"/>
            </w:pPr>
            <w:r>
              <w:rPr>
                <w:color w:val="1A1A2E"/>
                <w:sz w:val="18"/>
                <w:szCs w:val="18"/>
              </w:rPr>
              <w:t xml:space="preserve">7</w:t>
            </w:r>
          </w:p>
        </w:tc>
        <w:tc>
          <w:tcPr>
            <w:shd w:fill="FFFFFF" w:color="auto" w:val="clear"/>
            <w:tcMar>
              <w:top w:type="dxa" w:w="80"/>
              <w:left w:type="dxa" w:w="150"/>
              <w:bottom w:type="dxa" w:w="80"/>
              <w:right w:type="dxa" w:w="150"/>
            </w:tcMar>
          </w:tcPr>
          <w:p>
            <w:pPr>
              <w:jc w:val="center"/>
            </w:pPr>
            <w:r>
              <w:rPr>
                <w:color w:val="1A1A2E"/>
                <w:sz w:val="18"/>
                <w:szCs w:val="18"/>
              </w:rPr>
              <w:t xml:space="preserve">overdrawn_days_3m</w:t>
            </w:r>
          </w:p>
        </w:tc>
        <w:tc>
          <w:tcPr>
            <w:shd w:fill="FFFFFF" w:color="auto" w:val="clear"/>
            <w:tcMar>
              <w:top w:type="dxa" w:w="80"/>
              <w:left w:type="dxa" w:w="150"/>
              <w:bottom w:type="dxa" w:w="80"/>
              <w:right w:type="dxa" w:w="150"/>
            </w:tcMar>
          </w:tcPr>
          <w:p>
            <w:pPr>
              <w:jc w:val="center"/>
            </w:pPr>
            <w:r>
              <w:rPr>
                <w:color w:val="1A1A2E"/>
                <w:sz w:val="18"/>
                <w:szCs w:val="18"/>
              </w:rPr>
              <w:t xml:space="preserve">Numérique</w:t>
            </w:r>
          </w:p>
        </w:tc>
        <w:tc>
          <w:tcPr>
            <w:shd w:fill="FFFFFF" w:color="auto" w:val="clear"/>
            <w:tcMar>
              <w:top w:type="dxa" w:w="80"/>
              <w:left w:type="dxa" w:w="150"/>
              <w:bottom w:type="dxa" w:w="80"/>
              <w:right w:type="dxa" w:w="150"/>
            </w:tcMar>
          </w:tcPr>
          <w:p>
            <w:pPr>
              <w:jc w:val="center"/>
            </w:pPr>
            <w:r>
              <w:rPr>
                <w:color w:val="1A1A2E"/>
                <w:sz w:val="18"/>
                <w:szCs w:val="18"/>
              </w:rPr>
              <w:t xml:space="preserve">StandardScaler</w:t>
            </w:r>
          </w:p>
        </w:tc>
      </w:tr>
      <w:tr>
        <w:tc>
          <w:tcPr>
            <w:shd w:fill="F5F7FA" w:color="auto" w:val="clear"/>
            <w:tcMar>
              <w:top w:type="dxa" w:w="80"/>
              <w:left w:type="dxa" w:w="150"/>
              <w:bottom w:type="dxa" w:w="80"/>
              <w:right w:type="dxa" w:w="150"/>
            </w:tcMar>
          </w:tcPr>
          <w:p>
            <w:pPr>
              <w:jc w:val="center"/>
            </w:pPr>
            <w:r>
              <w:rPr>
                <w:color w:val="1A1A2E"/>
                <w:sz w:val="18"/>
                <w:szCs w:val="18"/>
              </w:rPr>
              <w:t xml:space="preserve">8</w:t>
            </w:r>
          </w:p>
        </w:tc>
        <w:tc>
          <w:tcPr>
            <w:shd w:fill="F5F7FA" w:color="auto" w:val="clear"/>
            <w:tcMar>
              <w:top w:type="dxa" w:w="80"/>
              <w:left w:type="dxa" w:w="150"/>
              <w:bottom w:type="dxa" w:w="80"/>
              <w:right w:type="dxa" w:w="150"/>
            </w:tcMar>
          </w:tcPr>
          <w:p>
            <w:pPr>
              <w:jc w:val="center"/>
            </w:pPr>
            <w:r>
              <w:rPr>
                <w:color w:val="1A1A2E"/>
                <w:sz w:val="18"/>
                <w:szCs w:val="18"/>
              </w:rPr>
              <w:t xml:space="preserve">max_dpd_12m</w:t>
            </w:r>
          </w:p>
        </w:tc>
        <w:tc>
          <w:tcPr>
            <w:shd w:fill="F5F7FA" w:color="auto" w:val="clear"/>
            <w:tcMar>
              <w:top w:type="dxa" w:w="80"/>
              <w:left w:type="dxa" w:w="150"/>
              <w:bottom w:type="dxa" w:w="80"/>
              <w:right w:type="dxa" w:w="150"/>
            </w:tcMar>
          </w:tcPr>
          <w:p>
            <w:pPr>
              <w:jc w:val="center"/>
            </w:pPr>
            <w:r>
              <w:rPr>
                <w:color w:val="1A1A2E"/>
                <w:sz w:val="18"/>
                <w:szCs w:val="18"/>
              </w:rPr>
              <w:t xml:space="preserve">Numérique</w:t>
            </w:r>
          </w:p>
        </w:tc>
        <w:tc>
          <w:tcPr>
            <w:shd w:fill="F5F7FA" w:color="auto" w:val="clear"/>
            <w:tcMar>
              <w:top w:type="dxa" w:w="80"/>
              <w:left w:type="dxa" w:w="150"/>
              <w:bottom w:type="dxa" w:w="80"/>
              <w:right w:type="dxa" w:w="150"/>
            </w:tcMar>
          </w:tcPr>
          <w:p>
            <w:pPr>
              <w:jc w:val="center"/>
            </w:pPr>
            <w:r>
              <w:rPr>
                <w:color w:val="1A1A2E"/>
                <w:sz w:val="18"/>
                <w:szCs w:val="18"/>
              </w:rPr>
              <w:t xml:space="preserve">StandardScaler</w:t>
            </w:r>
          </w:p>
        </w:tc>
      </w:tr>
      <w:tr>
        <w:tc>
          <w:tcPr>
            <w:shd w:fill="FFFFFF" w:color="auto" w:val="clear"/>
            <w:tcMar>
              <w:top w:type="dxa" w:w="80"/>
              <w:left w:type="dxa" w:w="150"/>
              <w:bottom w:type="dxa" w:w="80"/>
              <w:right w:type="dxa" w:w="150"/>
            </w:tcMar>
          </w:tcPr>
          <w:p>
            <w:pPr>
              <w:jc w:val="center"/>
            </w:pPr>
            <w:r>
              <w:rPr>
                <w:color w:val="1A1A2E"/>
                <w:sz w:val="18"/>
                <w:szCs w:val="18"/>
              </w:rPr>
              <w:t xml:space="preserve">9</w:t>
            </w:r>
          </w:p>
        </w:tc>
        <w:tc>
          <w:tcPr>
            <w:shd w:fill="FFFFFF" w:color="auto" w:val="clear"/>
            <w:tcMar>
              <w:top w:type="dxa" w:w="80"/>
              <w:left w:type="dxa" w:w="150"/>
              <w:bottom w:type="dxa" w:w="80"/>
              <w:right w:type="dxa" w:w="150"/>
            </w:tcMar>
          </w:tcPr>
          <w:p>
            <w:pPr>
              <w:jc w:val="center"/>
            </w:pPr>
            <w:r>
              <w:rPr>
                <w:color w:val="1A1A2E"/>
                <w:sz w:val="18"/>
                <w:szCs w:val="18"/>
              </w:rPr>
              <w:t xml:space="preserve">salary_domiciliation</w:t>
            </w:r>
          </w:p>
        </w:tc>
        <w:tc>
          <w:tcPr>
            <w:shd w:fill="FFFFFF" w:color="auto" w:val="clear"/>
            <w:tcMar>
              <w:top w:type="dxa" w:w="80"/>
              <w:left w:type="dxa" w:w="150"/>
              <w:bottom w:type="dxa" w:w="80"/>
              <w:right w:type="dxa" w:w="150"/>
            </w:tcMar>
          </w:tcPr>
          <w:p>
            <w:pPr>
              <w:jc w:val="center"/>
            </w:pPr>
            <w:r>
              <w:rPr>
                <w:color w:val="1A1A2E"/>
                <w:sz w:val="18"/>
                <w:szCs w:val="18"/>
              </w:rPr>
              <w:t xml:space="preserve">Binaire</w:t>
            </w:r>
          </w:p>
        </w:tc>
        <w:tc>
          <w:tcPr>
            <w:shd w:fill="FFFFFF" w:color="auto" w:val="clear"/>
            <w:tcMar>
              <w:top w:type="dxa" w:w="80"/>
              <w:left w:type="dxa" w:w="150"/>
              <w:bottom w:type="dxa" w:w="80"/>
              <w:right w:type="dxa" w:w="150"/>
            </w:tcMar>
          </w:tcPr>
          <w:p>
            <w:pPr>
              <w:jc w:val="center"/>
            </w:pPr>
            <w:r>
              <w:rPr>
                <w:color w:val="1A1A2E"/>
                <w:sz w:val="18"/>
                <w:szCs w:val="18"/>
              </w:rPr>
              <w:t xml:space="preserve">Aucune (0/1)</w:t>
            </w:r>
          </w:p>
        </w:tc>
      </w:tr>
      <w:tr>
        <w:tc>
          <w:tcPr>
            <w:shd w:fill="F5F7FA" w:color="auto" w:val="clear"/>
            <w:tcMar>
              <w:top w:type="dxa" w:w="80"/>
              <w:left w:type="dxa" w:w="150"/>
              <w:bottom w:type="dxa" w:w="80"/>
              <w:right w:type="dxa" w:w="150"/>
            </w:tcMar>
          </w:tcPr>
          <w:p>
            <w:pPr>
              <w:jc w:val="center"/>
            </w:pPr>
            <w:r>
              <w:rPr>
                <w:color w:val="1A1A2E"/>
                <w:sz w:val="18"/>
                <w:szCs w:val="18"/>
              </w:rPr>
              <w:t xml:space="preserve">10</w:t>
            </w:r>
          </w:p>
        </w:tc>
        <w:tc>
          <w:tcPr>
            <w:shd w:fill="F5F7FA" w:color="auto" w:val="clear"/>
            <w:tcMar>
              <w:top w:type="dxa" w:w="80"/>
              <w:left w:type="dxa" w:w="150"/>
              <w:bottom w:type="dxa" w:w="80"/>
              <w:right w:type="dxa" w:w="150"/>
            </w:tcMar>
          </w:tcPr>
          <w:p>
            <w:pPr>
              <w:jc w:val="center"/>
            </w:pPr>
            <w:r>
              <w:rPr>
                <w:color w:val="1A1A2E"/>
                <w:sz w:val="18"/>
                <w:szCs w:val="18"/>
              </w:rPr>
              <w:t xml:space="preserve">employment_status_Self_Employed</w:t>
            </w:r>
          </w:p>
        </w:tc>
        <w:tc>
          <w:tcPr>
            <w:shd w:fill="F5F7FA" w:color="auto" w:val="clear"/>
            <w:tcMar>
              <w:top w:type="dxa" w:w="80"/>
              <w:left w:type="dxa" w:w="150"/>
              <w:bottom w:type="dxa" w:w="80"/>
              <w:right w:type="dxa" w:w="150"/>
            </w:tcMar>
          </w:tcPr>
          <w:p>
            <w:pPr>
              <w:jc w:val="center"/>
            </w:pPr>
            <w:r>
              <w:rPr>
                <w:color w:val="1A1A2E"/>
                <w:sz w:val="18"/>
                <w:szCs w:val="18"/>
              </w:rPr>
              <w:t xml:space="preserve">Binaire OHE</w:t>
            </w:r>
          </w:p>
        </w:tc>
        <w:tc>
          <w:tcPr>
            <w:shd w:fill="F5F7FA" w:color="auto" w:val="clear"/>
            <w:tcMar>
              <w:top w:type="dxa" w:w="80"/>
              <w:left w:type="dxa" w:w="150"/>
              <w:bottom w:type="dxa" w:w="80"/>
              <w:right w:type="dxa" w:w="150"/>
            </w:tcMar>
          </w:tcPr>
          <w:p>
            <w:pPr>
              <w:jc w:val="center"/>
            </w:pPr>
            <w:r>
              <w:rPr>
                <w:color w:val="1A1A2E"/>
                <w:sz w:val="18"/>
                <w:szCs w:val="18"/>
              </w:rPr>
              <w:t xml:space="preserve">get_dummies (ref = Permanent)</w:t>
            </w:r>
          </w:p>
        </w:tc>
      </w:tr>
      <w:tr>
        <w:tc>
          <w:tcPr>
            <w:shd w:fill="FFFFFF" w:color="auto" w:val="clear"/>
            <w:tcMar>
              <w:top w:type="dxa" w:w="80"/>
              <w:left w:type="dxa" w:w="150"/>
              <w:bottom w:type="dxa" w:w="80"/>
              <w:right w:type="dxa" w:w="150"/>
            </w:tcMar>
          </w:tcPr>
          <w:p>
            <w:pPr>
              <w:jc w:val="center"/>
            </w:pPr>
            <w:r>
              <w:rPr>
                <w:color w:val="1A1A2E"/>
                <w:sz w:val="18"/>
                <w:szCs w:val="18"/>
              </w:rPr>
              <w:t xml:space="preserve">11</w:t>
            </w:r>
          </w:p>
        </w:tc>
        <w:tc>
          <w:tcPr>
            <w:shd w:fill="FFFFFF" w:color="auto" w:val="clear"/>
            <w:tcMar>
              <w:top w:type="dxa" w:w="80"/>
              <w:left w:type="dxa" w:w="150"/>
              <w:bottom w:type="dxa" w:w="80"/>
              <w:right w:type="dxa" w:w="150"/>
            </w:tcMar>
          </w:tcPr>
          <w:p>
            <w:pPr>
              <w:jc w:val="center"/>
            </w:pPr>
            <w:r>
              <w:rPr>
                <w:color w:val="1A1A2E"/>
                <w:sz w:val="18"/>
                <w:szCs w:val="18"/>
              </w:rPr>
              <w:t xml:space="preserve">employment_status_Student</w:t>
            </w:r>
          </w:p>
        </w:tc>
        <w:tc>
          <w:tcPr>
            <w:shd w:fill="FFFFFF" w:color="auto" w:val="clear"/>
            <w:tcMar>
              <w:top w:type="dxa" w:w="80"/>
              <w:left w:type="dxa" w:w="150"/>
              <w:bottom w:type="dxa" w:w="80"/>
              <w:right w:type="dxa" w:w="150"/>
            </w:tcMar>
          </w:tcPr>
          <w:p>
            <w:pPr>
              <w:jc w:val="center"/>
            </w:pPr>
            <w:r>
              <w:rPr>
                <w:color w:val="1A1A2E"/>
                <w:sz w:val="18"/>
                <w:szCs w:val="18"/>
              </w:rPr>
              <w:t xml:space="preserve">Binaire OHE</w:t>
            </w:r>
          </w:p>
        </w:tc>
        <w:tc>
          <w:tcPr>
            <w:shd w:fill="FFFFFF" w:color="auto" w:val="clear"/>
            <w:tcMar>
              <w:top w:type="dxa" w:w="80"/>
              <w:left w:type="dxa" w:w="150"/>
              <w:bottom w:type="dxa" w:w="80"/>
              <w:right w:type="dxa" w:w="150"/>
            </w:tcMar>
          </w:tcPr>
          <w:p>
            <w:pPr>
              <w:jc w:val="center"/>
            </w:pPr>
            <w:r>
              <w:rPr>
                <w:color w:val="1A1A2E"/>
                <w:sz w:val="18"/>
                <w:szCs w:val="18"/>
              </w:rPr>
              <w:t xml:space="preserve">get_dummies (ref = Permanent)</w:t>
            </w:r>
          </w:p>
        </w:tc>
      </w:tr>
      <w:tr>
        <w:tc>
          <w:tcPr>
            <w:shd w:fill="F5F7FA" w:color="auto" w:val="clear"/>
            <w:tcMar>
              <w:top w:type="dxa" w:w="80"/>
              <w:left w:type="dxa" w:w="150"/>
              <w:bottom w:type="dxa" w:w="80"/>
              <w:right w:type="dxa" w:w="150"/>
            </w:tcMar>
          </w:tcPr>
          <w:p>
            <w:pPr>
              <w:jc w:val="center"/>
            </w:pPr>
            <w:r>
              <w:rPr>
                <w:color w:val="1A1A2E"/>
                <w:sz w:val="18"/>
                <w:szCs w:val="18"/>
              </w:rPr>
              <w:t xml:space="preserve">12</w:t>
            </w:r>
          </w:p>
        </w:tc>
        <w:tc>
          <w:tcPr>
            <w:shd w:fill="F5F7FA" w:color="auto" w:val="clear"/>
            <w:tcMar>
              <w:top w:type="dxa" w:w="80"/>
              <w:left w:type="dxa" w:w="150"/>
              <w:bottom w:type="dxa" w:w="80"/>
              <w:right w:type="dxa" w:w="150"/>
            </w:tcMar>
          </w:tcPr>
          <w:p>
            <w:pPr>
              <w:jc w:val="center"/>
            </w:pPr>
            <w:r>
              <w:rPr>
                <w:color w:val="1A1A2E"/>
                <w:sz w:val="18"/>
                <w:szCs w:val="18"/>
              </w:rPr>
              <w:t xml:space="preserve">employment_status_Temporary</w:t>
            </w:r>
          </w:p>
        </w:tc>
        <w:tc>
          <w:tcPr>
            <w:shd w:fill="F5F7FA" w:color="auto" w:val="clear"/>
            <w:tcMar>
              <w:top w:type="dxa" w:w="80"/>
              <w:left w:type="dxa" w:w="150"/>
              <w:bottom w:type="dxa" w:w="80"/>
              <w:right w:type="dxa" w:w="150"/>
            </w:tcMar>
          </w:tcPr>
          <w:p>
            <w:pPr>
              <w:jc w:val="center"/>
            </w:pPr>
            <w:r>
              <w:rPr>
                <w:color w:val="1A1A2E"/>
                <w:sz w:val="18"/>
                <w:szCs w:val="18"/>
              </w:rPr>
              <w:t xml:space="preserve">Binaire OHE</w:t>
            </w:r>
          </w:p>
        </w:tc>
        <w:tc>
          <w:tcPr>
            <w:shd w:fill="F5F7FA" w:color="auto" w:val="clear"/>
            <w:tcMar>
              <w:top w:type="dxa" w:w="80"/>
              <w:left w:type="dxa" w:w="150"/>
              <w:bottom w:type="dxa" w:w="80"/>
              <w:right w:type="dxa" w:w="150"/>
            </w:tcMar>
          </w:tcPr>
          <w:p>
            <w:pPr>
              <w:jc w:val="center"/>
            </w:pPr>
            <w:r>
              <w:rPr>
                <w:color w:val="1A1A2E"/>
                <w:sz w:val="18"/>
                <w:szCs w:val="18"/>
              </w:rPr>
              <w:t xml:space="preserve">get_dummies (ref = Permanent)</w:t>
            </w:r>
          </w:p>
        </w:tc>
      </w:tr>
      <w:tr>
        <w:tc>
          <w:tcPr>
            <w:shd w:fill="FFFFFF" w:color="auto" w:val="clear"/>
            <w:tcMar>
              <w:top w:type="dxa" w:w="80"/>
              <w:left w:type="dxa" w:w="150"/>
              <w:bottom w:type="dxa" w:w="80"/>
              <w:right w:type="dxa" w:w="150"/>
            </w:tcMar>
          </w:tcPr>
          <w:p>
            <w:pPr>
              <w:jc w:val="center"/>
            </w:pPr>
            <w:r>
              <w:rPr>
                <w:color w:val="1A1A2E"/>
                <w:sz w:val="18"/>
                <w:szCs w:val="18"/>
              </w:rPr>
              <w:t xml:space="preserve">13</w:t>
            </w:r>
          </w:p>
        </w:tc>
        <w:tc>
          <w:tcPr>
            <w:shd w:fill="FFFFFF" w:color="auto" w:val="clear"/>
            <w:tcMar>
              <w:top w:type="dxa" w:w="80"/>
              <w:left w:type="dxa" w:w="150"/>
              <w:bottom w:type="dxa" w:w="80"/>
              <w:right w:type="dxa" w:w="150"/>
            </w:tcMar>
          </w:tcPr>
          <w:p>
            <w:pPr>
              <w:jc w:val="center"/>
            </w:pPr>
            <w:r>
              <w:rPr>
                <w:color w:val="1A1A2E"/>
                <w:sz w:val="18"/>
                <w:szCs w:val="18"/>
              </w:rPr>
              <w:t xml:space="preserve">employment_status_Unemployed</w:t>
            </w:r>
          </w:p>
        </w:tc>
        <w:tc>
          <w:tcPr>
            <w:shd w:fill="FFFFFF" w:color="auto" w:val="clear"/>
            <w:tcMar>
              <w:top w:type="dxa" w:w="80"/>
              <w:left w:type="dxa" w:w="150"/>
              <w:bottom w:type="dxa" w:w="80"/>
              <w:right w:type="dxa" w:w="150"/>
            </w:tcMar>
          </w:tcPr>
          <w:p>
            <w:pPr>
              <w:jc w:val="center"/>
            </w:pPr>
            <w:r>
              <w:rPr>
                <w:color w:val="1A1A2E"/>
                <w:sz w:val="18"/>
                <w:szCs w:val="18"/>
              </w:rPr>
              <w:t xml:space="preserve">Binaire OHE</w:t>
            </w:r>
          </w:p>
        </w:tc>
        <w:tc>
          <w:tcPr>
            <w:shd w:fill="FFFFFF" w:color="auto" w:val="clear"/>
            <w:tcMar>
              <w:top w:type="dxa" w:w="80"/>
              <w:left w:type="dxa" w:w="150"/>
              <w:bottom w:type="dxa" w:w="80"/>
              <w:right w:type="dxa" w:w="150"/>
            </w:tcMar>
          </w:tcPr>
          <w:p>
            <w:pPr>
              <w:jc w:val="center"/>
            </w:pPr>
            <w:r>
              <w:rPr>
                <w:color w:val="1A1A2E"/>
                <w:sz w:val="18"/>
                <w:szCs w:val="18"/>
              </w:rPr>
              <w:t xml:space="preserve">get_dummies (ref = Permanent)</w:t>
            </w:r>
          </w:p>
        </w:tc>
      </w:tr>
    </w:tbl>
    <w:p>
      <w:pPr>
        <w:spacing w:after="200"/>
      </w:pPr>
    </w:p>
    <w:p>
      <w:pPr>
        <w:pBdr>
          <w:bottom w:val="single" w:color="CBD5E0" w:sz="2"/>
        </w:pBdr>
        <w:spacing w:after="150" w:before="300"/>
      </w:pPr>
      <w:r>
        <w:rPr>
          <w:b/>
          <w:bCs/>
          <w:color w:val="2E5B8C"/>
          <w:sz w:val="26"/>
          <w:szCs w:val="26"/>
        </w:rPr>
        <w:t xml:space="preserve">4.2 Règle Anti-Leakage</w:t>
      </w:r>
    </w:p>
    <w:p>
      <w:pPr>
        <w:spacing w:after="100"/>
        <w:jc w:val="both"/>
      </w:pPr>
      <w:r>
        <w:rPr>
          <w:color w:val="1A1A2E"/>
          <w:sz w:val="20"/>
          <w:szCs w:val="20"/>
        </w:rPr>
        <w:t xml:space="preserve">Une règle fondamentale a été respectée tout au long du preprocessing et de l'entraînement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C0392B" w:sz="6"/>
              <w:left w:val="single" w:color="C0392B" w:sz="6"/>
              <w:bottom w:val="single" w:color="C0392B" w:sz="2"/>
              <w:right w:val="single" w:color="C0392B" w:sz="2"/>
            </w:tcBorders>
            <w:shd w:fill="FDEDEC" w:color="auto" w:val="clear"/>
            <w:tcMar>
              <w:top w:type="dxa" w:w="120"/>
              <w:left w:type="dxa" w:w="200"/>
              <w:bottom w:type="dxa" w:w="120"/>
              <w:right w:type="dxa" w:w="200"/>
            </w:tcMar>
          </w:tcPr>
          <w:p>
            <w:pPr>
              <w:spacing w:after="100"/>
            </w:pPr>
            <w:r>
              <w:rPr>
                <w:b/>
                <w:bCs/>
                <w:color w:val="C0392B"/>
                <w:sz w:val="20"/>
                <w:szCs w:val="20"/>
              </w:rPr>
              <w:t xml:space="preserve">🔒 Anti-Data Leakage — Règle absolue</w:t>
            </w:r>
          </w:p>
          <w:p>
            <w:pPr>
              <w:spacing w:after="70"/>
            </w:pPr>
            <w:r>
              <w:rPr>
                <w:color w:val="1A1A2E"/>
                <w:sz w:val="19"/>
                <w:szCs w:val="19"/>
              </w:rPr>
              <w:t xml:space="preserve">• Le StandardScaler est FIT uniquement sur X_train → transform sur X_test.</w:t>
            </w:r>
          </w:p>
          <w:p>
            <w:pPr>
              <w:spacing w:after="70"/>
            </w:pPr>
            <w:r>
              <w:rPr>
                <w:color w:val="1A1A2E"/>
                <w:sz w:val="19"/>
                <w:szCs w:val="19"/>
              </w:rPr>
              <w:t xml:space="preserve">• Les médianes d'imputation sont calculées uniquement sur X_train (avant split).</w:t>
            </w:r>
          </w:p>
          <w:p>
            <w:pPr>
              <w:spacing w:after="70"/>
            </w:pPr>
            <w:r>
              <w:rPr>
                <w:color w:val="1A1A2E"/>
                <w:sz w:val="19"/>
                <w:szCs w:val="19"/>
              </w:rPr>
              <w:t xml:space="preserve">• Les seuils de capping (P99) sont calculés uniquement sur X_train.</w:t>
            </w:r>
          </w:p>
          <w:p>
            <w:pPr>
              <w:spacing w:after="70"/>
            </w:pPr>
            <w:r>
              <w:rPr>
                <w:color w:val="1A1A2E"/>
                <w:sz w:val="19"/>
                <w:szCs w:val="19"/>
              </w:rPr>
              <w:t xml:space="preserve"/>
            </w:r>
          </w:p>
          <w:p>
            <w:pPr>
              <w:spacing w:after="70"/>
            </w:pPr>
            <w:r>
              <w:rPr>
                <w:color w:val="1A1A2E"/>
                <w:sz w:val="19"/>
                <w:szCs w:val="19"/>
              </w:rPr>
              <w:t xml:space="preserve">Violer cette règle reviendrait à utiliser des informations du futur (test set) pour préparer</w:t>
            </w:r>
          </w:p>
          <w:p>
            <w:pPr>
              <w:spacing w:after="70"/>
            </w:pPr>
            <w:r>
              <w:rPr>
                <w:color w:val="1A1A2E"/>
                <w:sz w:val="19"/>
                <w:szCs w:val="19"/>
              </w:rPr>
              <w:t xml:space="preserve">les données d'entraînement → les performances seraient artificiellement gonflées,</w:t>
            </w:r>
          </w:p>
          <w:p>
            <w:pPr>
              <w:spacing w:after="70"/>
            </w:pPr>
            <w:r>
              <w:rPr>
                <w:color w:val="1A1A2E"/>
                <w:sz w:val="19"/>
                <w:szCs w:val="19"/>
              </w:rPr>
              <w:t xml:space="preserve">et le modèle échouerait en production sur de nouveaux clients.</w:t>
            </w:r>
          </w:p>
        </w:tc>
      </w:tr>
    </w:tbl>
    <w:p>
      <w:pPr>
        <w:spacing w:after="200"/>
      </w:pPr>
    </w:p>
    <w:p>
      <w:r>
        <w:br w:type="page"/>
      </w:r>
    </w:p>
    <w:p>
      <w:pPr>
        <w:pStyle w:val="Heading1"/>
        <w:pBdr>
          <w:bottom w:val="single" w:color="F0A500" w:sz="3" w:space="4"/>
        </w:pBdr>
        <w:spacing w:after="200" w:before="400"/>
        <w:rPr>
          <w:b/>
          <w:bCs/>
          <w:color w:val="2E5B8C"/>
          <w:sz w:val="32"/>
          <w:szCs w:val="32"/>
        </w:rPr>
      </w:pPr>
      <w:r>
        <w:t xml:space="preserve">5. Validation Croisée 5-Fold Stratifiée</w:t>
      </w:r>
    </w:p>
    <w:p>
      <w:pPr>
        <w:pBdr>
          <w:bottom w:val="single" w:color="CBD5E0" w:sz="2"/>
        </w:pBdr>
        <w:spacing w:after="150" w:before="300"/>
      </w:pPr>
      <w:r>
        <w:rPr>
          <w:b/>
          <w:bCs/>
          <w:color w:val="2E5B8C"/>
          <w:sz w:val="26"/>
          <w:szCs w:val="26"/>
        </w:rPr>
        <w:t xml:space="preserve">5.1 Méthodologie</w:t>
      </w:r>
    </w:p>
    <w:p>
      <w:pPr>
        <w:spacing w:after="100"/>
        <w:jc w:val="both"/>
      </w:pPr>
      <w:r>
        <w:rPr>
          <w:color w:val="1A1A2E"/>
          <w:sz w:val="20"/>
          <w:szCs w:val="20"/>
        </w:rPr>
        <w:t xml:space="preserve">La validation croisée (cross-validation) permet d'estimer la performance générale du modèle sans utiliser le jeu de test. Elle répond à une question clé : les résultats sur le train sont-ils stables ou dépendent-ils d'un découpage particulier des données ?</w:t>
      </w:r>
    </w:p>
    <w:p>
      <w:pPr>
        <w:spacing w:after="80"/>
      </w:pPr>
    </w:p>
    <w:p>
      <w:pPr>
        <w:spacing w:after="100"/>
        <w:jc w:val="both"/>
      </w:pPr>
      <w:r>
        <w:rPr>
          <w:color w:val="1A1A2E"/>
          <w:sz w:val="20"/>
          <w:szCs w:val="20"/>
        </w:rPr>
        <w:t xml:space="preserve">Le protocole 5-Fold Stratifié fonctionne comme suit :</w:t>
      </w:r>
    </w:p>
    <w:p>
      <w:pPr>
        <w:pStyle w:val="ListParagraph"/>
        <w:numPr>
          <w:ilvl w:val="0"/>
          <w:numId w:val="1"/>
        </w:numPr>
        <w:spacing w:after="80"/>
        <w:jc w:val="both"/>
      </w:pPr>
      <w:r>
        <w:rPr>
          <w:color w:val="1A1A2E"/>
          <w:sz w:val="20"/>
          <w:szCs w:val="20"/>
        </w:rPr>
        <w:t xml:space="preserve">Le train (9 600 obs.) est divisé en 5 parties (folds) égales de 1 920 observations chacune</w:t>
      </w:r>
    </w:p>
    <w:p>
      <w:pPr>
        <w:pStyle w:val="ListParagraph"/>
        <w:numPr>
          <w:ilvl w:val="0"/>
          <w:numId w:val="1"/>
        </w:numPr>
        <w:spacing w:after="80"/>
        <w:jc w:val="both"/>
      </w:pPr>
      <w:r>
        <w:rPr>
          <w:color w:val="1A1A2E"/>
          <w:sz w:val="20"/>
          <w:szCs w:val="20"/>
        </w:rPr>
        <w:t xml:space="preserve">À chaque itération : 4 folds servent à entraîner, 1 fold sert à valider</w:t>
      </w:r>
    </w:p>
    <w:p>
      <w:pPr>
        <w:pStyle w:val="ListParagraph"/>
        <w:numPr>
          <w:ilvl w:val="0"/>
          <w:numId w:val="1"/>
        </w:numPr>
        <w:spacing w:after="80"/>
        <w:jc w:val="both"/>
      </w:pPr>
      <w:r>
        <w:rPr>
          <w:color w:val="1A1A2E"/>
          <w:sz w:val="20"/>
          <w:szCs w:val="20"/>
        </w:rPr>
        <w:t xml:space="preserve">L'opération est répétée 5 fois — chaque fold sert exactement une fois de jeu de validation</w:t>
      </w:r>
    </w:p>
    <w:p>
      <w:pPr>
        <w:pStyle w:val="ListParagraph"/>
        <w:numPr>
          <w:ilvl w:val="0"/>
          <w:numId w:val="1"/>
        </w:numPr>
        <w:spacing w:after="80"/>
        <w:jc w:val="both"/>
      </w:pPr>
      <w:r>
        <w:rPr>
          <w:color w:val="1A1A2E"/>
          <w:sz w:val="20"/>
          <w:szCs w:val="20"/>
        </w:rPr>
        <w:t xml:space="preserve">"Stratifié" : chaque fold conserve le même taux de défaut (~13,37%) grâce à stratify=y</w:t>
      </w:r>
    </w:p>
    <w:p>
      <w:pPr>
        <w:spacing w:after="80"/>
      </w:pPr>
    </w:p>
    <w:p>
      <w:pPr>
        <w:pBdr>
          <w:bottom w:val="single" w:color="CBD5E0" w:sz="2"/>
        </w:pBdr>
        <w:spacing w:after="150" w:before="300"/>
      </w:pPr>
      <w:r>
        <w:rPr>
          <w:b/>
          <w:bCs/>
          <w:color w:val="2E5B8C"/>
          <w:sz w:val="26"/>
          <w:szCs w:val="26"/>
        </w:rPr>
        <w:t xml:space="preserve">5.2 Métriques choisies</w:t>
      </w:r>
    </w:p>
    <w:p>
      <w:pPr>
        <w:spacing w:after="100"/>
        <w:jc w:val="both"/>
      </w:pPr>
      <w:r>
        <w:rPr>
          <w:color w:val="1A1A2E"/>
          <w:sz w:val="20"/>
          <w:szCs w:val="20"/>
        </w:rPr>
        <w:t xml:space="preserve">Deux métriques ont été retenues, pour des raisons complémentaires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E67E22" w:sz="6"/>
              <w:left w:val="single" w:color="E67E22" w:sz="6"/>
              <w:bottom w:val="single" w:color="E67E22" w:sz="2"/>
              <w:right w:val="single" w:color="E67E22" w:sz="2"/>
            </w:tcBorders>
            <w:shd w:fill="FEF9E7" w:color="auto" w:val="clear"/>
            <w:tcMar>
              <w:top w:type="dxa" w:w="120"/>
              <w:left w:type="dxa" w:w="200"/>
              <w:bottom w:type="dxa" w:w="120"/>
              <w:right w:type="dxa" w:w="200"/>
            </w:tcMar>
          </w:tcPr>
          <w:p>
            <w:pPr>
              <w:spacing w:after="100"/>
            </w:pPr>
            <w:r>
              <w:rPr>
                <w:b/>
                <w:bCs/>
                <w:color w:val="E67E22"/>
                <w:sz w:val="20"/>
                <w:szCs w:val="20"/>
              </w:rPr>
              <w:t xml:space="preserve">Pourquoi pas l'accuracy (précision globale) ?</w:t>
            </w:r>
          </w:p>
          <w:p>
            <w:pPr>
              <w:spacing w:after="70"/>
            </w:pPr>
            <w:r>
              <w:rPr>
                <w:color w:val="1A1A2E"/>
                <w:sz w:val="19"/>
                <w:szCs w:val="19"/>
              </w:rPr>
              <w:t xml:space="preserve">Avec 86,63% de non-défauts, un modèle qui prédit "non-défaut" pour TOUS les clients obtient</w:t>
            </w:r>
          </w:p>
          <w:p>
            <w:pPr>
              <w:spacing w:after="70"/>
            </w:pPr>
            <w:r>
              <w:rPr>
                <w:color w:val="1A1A2E"/>
                <w:sz w:val="19"/>
                <w:szCs w:val="19"/>
              </w:rPr>
              <w:t xml:space="preserve">86,63% d'accuracy sans avoir rien appris. Cette métrique est trompeuse pour les datasets déséquilibrés.</w:t>
            </w:r>
          </w:p>
          <w:p>
            <w:pPr>
              <w:spacing w:after="70"/>
            </w:pPr>
            <w:r>
              <w:rPr>
                <w:color w:val="1A1A2E"/>
                <w:sz w:val="19"/>
                <w:szCs w:val="19"/>
              </w:rPr>
              <w:t xml:space="preserve">AUC-ROC et F1-Score sont insensibles à ce biais.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Métrique</w:t>
            </w:r>
          </w:p>
        </w:tc>
        <w:tc>
          <w:tcPr>
            <w:shd w:fill="2E5B8C" w:color="auto" w:val="clear"/>
            <w:tcMar>
              <w:top w:type="dxa" w:w="100"/>
              <w:left w:type="dxa" w:w="150"/>
              <w:bottom w:type="dxa" w:w="100"/>
              <w:right w:type="dxa" w:w="150"/>
            </w:tcMar>
          </w:tcPr>
          <w:p>
            <w:pPr>
              <w:jc w:val="center"/>
            </w:pPr>
            <w:r>
              <w:rPr>
                <w:b/>
                <w:bCs/>
                <w:color w:val="FFFFFF"/>
                <w:sz w:val="18"/>
                <w:szCs w:val="18"/>
              </w:rPr>
              <w:t xml:space="preserve">Définition</w:t>
            </w:r>
          </w:p>
        </w:tc>
        <w:tc>
          <w:tcPr>
            <w:shd w:fill="2E5B8C" w:color="auto" w:val="clear"/>
            <w:tcMar>
              <w:top w:type="dxa" w:w="100"/>
              <w:left w:type="dxa" w:w="150"/>
              <w:bottom w:type="dxa" w:w="100"/>
              <w:right w:type="dxa" w:w="150"/>
            </w:tcMar>
          </w:tcPr>
          <w:p>
            <w:pPr>
              <w:jc w:val="center"/>
            </w:pPr>
            <w:r>
              <w:rPr>
                <w:b/>
                <w:bCs/>
                <w:color w:val="FFFFFF"/>
                <w:sz w:val="18"/>
                <w:szCs w:val="18"/>
              </w:rPr>
              <w:t xml:space="preserve">Interprétation</w:t>
            </w:r>
          </w:p>
        </w:tc>
        <w:tc>
          <w:tcPr>
            <w:shd w:fill="2E5B8C" w:color="auto" w:val="clear"/>
            <w:tcMar>
              <w:top w:type="dxa" w:w="100"/>
              <w:left w:type="dxa" w:w="150"/>
              <w:bottom w:type="dxa" w:w="100"/>
              <w:right w:type="dxa" w:w="150"/>
            </w:tcMar>
          </w:tcPr>
          <w:p>
            <w:pPr>
              <w:jc w:val="center"/>
            </w:pPr>
            <w:r>
              <w:rPr>
                <w:b/>
                <w:bCs/>
                <w:color w:val="FFFFFF"/>
                <w:sz w:val="18"/>
                <w:szCs w:val="18"/>
              </w:rPr>
              <w:t xml:space="preserve">Seuil acceptable</w:t>
            </w:r>
          </w:p>
        </w:tc>
      </w:tr>
      <w:tr>
        <w:tc>
          <w:tcPr>
            <w:shd w:fill="FFFFFF" w:color="auto" w:val="clear"/>
            <w:tcMar>
              <w:top w:type="dxa" w:w="80"/>
              <w:left w:type="dxa" w:w="150"/>
              <w:bottom w:type="dxa" w:w="80"/>
              <w:right w:type="dxa" w:w="150"/>
            </w:tcMar>
          </w:tcPr>
          <w:p>
            <w:pPr>
              <w:jc w:val="center"/>
            </w:pPr>
            <w:r>
              <w:rPr>
                <w:color w:val="1A1A2E"/>
                <w:sz w:val="18"/>
                <w:szCs w:val="18"/>
              </w:rPr>
              <w:t xml:space="preserve">AUC-ROC</w:t>
            </w:r>
          </w:p>
        </w:tc>
        <w:tc>
          <w:tcPr>
            <w:shd w:fill="FFFFFF" w:color="auto" w:val="clear"/>
            <w:tcMar>
              <w:top w:type="dxa" w:w="80"/>
              <w:left w:type="dxa" w:w="150"/>
              <w:bottom w:type="dxa" w:w="80"/>
              <w:right w:type="dxa" w:w="150"/>
            </w:tcMar>
          </w:tcPr>
          <w:p>
            <w:pPr>
              <w:jc w:val="center"/>
            </w:pPr>
            <w:r>
              <w:rPr>
                <w:color w:val="1A1A2E"/>
                <w:sz w:val="18"/>
                <w:szCs w:val="18"/>
              </w:rPr>
              <w:t xml:space="preserve">Aire sous la courbe ROC (True Positive Rate vs False Positive Rate)</w:t>
            </w:r>
          </w:p>
        </w:tc>
        <w:tc>
          <w:tcPr>
            <w:shd w:fill="FFFFFF" w:color="auto" w:val="clear"/>
            <w:tcMar>
              <w:top w:type="dxa" w:w="80"/>
              <w:left w:type="dxa" w:w="150"/>
              <w:bottom w:type="dxa" w:w="80"/>
              <w:right w:type="dxa" w:w="150"/>
            </w:tcMar>
          </w:tcPr>
          <w:p>
            <w:pPr>
              <w:jc w:val="center"/>
            </w:pPr>
            <w:r>
              <w:rPr>
                <w:color w:val="1A1A2E"/>
                <w:sz w:val="18"/>
                <w:szCs w:val="18"/>
              </w:rPr>
              <w:t xml:space="preserve">Capacité à distinguer défauts vs non-défauts. 1.0 = parfait, 0.5 = aléatoire</w:t>
            </w:r>
          </w:p>
        </w:tc>
        <w:tc>
          <w:tcPr>
            <w:shd w:fill="FFFFFF" w:color="auto" w:val="clear"/>
            <w:tcMar>
              <w:top w:type="dxa" w:w="80"/>
              <w:left w:type="dxa" w:w="150"/>
              <w:bottom w:type="dxa" w:w="80"/>
              <w:right w:type="dxa" w:w="150"/>
            </w:tcMar>
          </w:tcPr>
          <w:p>
            <w:pPr>
              <w:jc w:val="center"/>
            </w:pPr>
            <w:r>
              <w:rPr>
                <w:color w:val="1A1A2E"/>
                <w:sz w:val="18"/>
                <w:szCs w:val="18"/>
              </w:rPr>
              <w:t xml:space="preserve">&gt; 0,75 en crédit scoring</w:t>
            </w:r>
          </w:p>
        </w:tc>
      </w:tr>
      <w:tr>
        <w:tc>
          <w:tcPr>
            <w:shd w:fill="F5F7FA" w:color="auto" w:val="clear"/>
            <w:tcMar>
              <w:top w:type="dxa" w:w="80"/>
              <w:left w:type="dxa" w:w="150"/>
              <w:bottom w:type="dxa" w:w="80"/>
              <w:right w:type="dxa" w:w="150"/>
            </w:tcMar>
          </w:tcPr>
          <w:p>
            <w:pPr>
              <w:jc w:val="center"/>
            </w:pPr>
            <w:r>
              <w:rPr>
                <w:color w:val="1A1A2E"/>
                <w:sz w:val="18"/>
                <w:szCs w:val="18"/>
              </w:rPr>
              <w:t xml:space="preserve">F1-Score</w:t>
            </w:r>
          </w:p>
        </w:tc>
        <w:tc>
          <w:tcPr>
            <w:shd w:fill="F5F7FA" w:color="auto" w:val="clear"/>
            <w:tcMar>
              <w:top w:type="dxa" w:w="80"/>
              <w:left w:type="dxa" w:w="150"/>
              <w:bottom w:type="dxa" w:w="80"/>
              <w:right w:type="dxa" w:w="150"/>
            </w:tcMar>
          </w:tcPr>
          <w:p>
            <w:pPr>
              <w:jc w:val="center"/>
            </w:pPr>
            <w:r>
              <w:rPr>
                <w:color w:val="1A1A2E"/>
                <w:sz w:val="18"/>
                <w:szCs w:val="18"/>
              </w:rPr>
              <w:t xml:space="preserve">Moyenne harmonique de la Précision et du Rappel</w:t>
            </w:r>
          </w:p>
        </w:tc>
        <w:tc>
          <w:tcPr>
            <w:shd w:fill="F5F7FA" w:color="auto" w:val="clear"/>
            <w:tcMar>
              <w:top w:type="dxa" w:w="80"/>
              <w:left w:type="dxa" w:w="150"/>
              <w:bottom w:type="dxa" w:w="80"/>
              <w:right w:type="dxa" w:w="150"/>
            </w:tcMar>
          </w:tcPr>
          <w:p>
            <w:pPr>
              <w:jc w:val="center"/>
            </w:pPr>
            <w:r>
              <w:rPr>
                <w:color w:val="1A1A2E"/>
                <w:sz w:val="18"/>
                <w:szCs w:val="18"/>
              </w:rPr>
              <w:t xml:space="preserve">Équilibre entre détecter les vrais défauts (rappel) et éviter les fausses alarmes (précision)</w:t>
            </w:r>
          </w:p>
        </w:tc>
        <w:tc>
          <w:tcPr>
            <w:shd w:fill="F5F7FA" w:color="auto" w:val="clear"/>
            <w:tcMar>
              <w:top w:type="dxa" w:w="80"/>
              <w:left w:type="dxa" w:w="150"/>
              <w:bottom w:type="dxa" w:w="80"/>
              <w:right w:type="dxa" w:w="150"/>
            </w:tcMar>
          </w:tcPr>
          <w:p>
            <w:pPr>
              <w:jc w:val="center"/>
            </w:pPr>
            <w:r>
              <w:rPr>
                <w:color w:val="1A1A2E"/>
                <w:sz w:val="18"/>
                <w:szCs w:val="18"/>
              </w:rPr>
              <w:t xml:space="preserve">&gt; 0,45 avec classes déséquilibrées</w:t>
            </w:r>
          </w:p>
        </w:tc>
      </w:tr>
    </w:tbl>
    <w:p>
      <w:pPr>
        <w:spacing w:after="120"/>
      </w:pPr>
    </w:p>
    <w:p>
      <w:pPr>
        <w:pBdr>
          <w:bottom w:val="single" w:color="CBD5E0" w:sz="2"/>
        </w:pBdr>
        <w:spacing w:after="150" w:before="300"/>
      </w:pPr>
      <w:r>
        <w:rPr>
          <w:b/>
          <w:bCs/>
          <w:color w:val="2E5B8C"/>
          <w:sz w:val="26"/>
          <w:szCs w:val="26"/>
        </w:rPr>
        <w:t xml:space="preserve">5.3 Résultats — Validation Croisée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Fold</w:t>
            </w:r>
          </w:p>
        </w:tc>
        <w:tc>
          <w:tcPr>
            <w:shd w:fill="2E5B8C" w:color="auto" w:val="clear"/>
            <w:tcMar>
              <w:top w:type="dxa" w:w="100"/>
              <w:left w:type="dxa" w:w="150"/>
              <w:bottom w:type="dxa" w:w="100"/>
              <w:right w:type="dxa" w:w="150"/>
            </w:tcMar>
          </w:tcPr>
          <w:p>
            <w:pPr>
              <w:jc w:val="center"/>
            </w:pPr>
            <w:r>
              <w:rPr>
                <w:b/>
                <w:bCs/>
                <w:color w:val="FFFFFF"/>
                <w:sz w:val="18"/>
                <w:szCs w:val="18"/>
              </w:rPr>
              <w:t xml:space="preserve">AUC-ROC</w:t>
            </w:r>
          </w:p>
        </w:tc>
        <w:tc>
          <w:tcPr>
            <w:shd w:fill="2E5B8C" w:color="auto" w:val="clear"/>
            <w:tcMar>
              <w:top w:type="dxa" w:w="100"/>
              <w:left w:type="dxa" w:w="150"/>
              <w:bottom w:type="dxa" w:w="100"/>
              <w:right w:type="dxa" w:w="150"/>
            </w:tcMar>
          </w:tcPr>
          <w:p>
            <w:pPr>
              <w:jc w:val="center"/>
            </w:pPr>
            <w:r>
              <w:rPr>
                <w:b/>
                <w:bCs/>
                <w:color w:val="FFFFFF"/>
                <w:sz w:val="18"/>
                <w:szCs w:val="18"/>
              </w:rPr>
              <w:t xml:space="preserve">F1-Score</w:t>
            </w:r>
          </w:p>
        </w:tc>
      </w:tr>
      <w:tr>
        <w:tc>
          <w:tcPr>
            <w:shd w:fill="FFFFFF" w:color="auto" w:val="clear"/>
            <w:tcMar>
              <w:top w:type="dxa" w:w="80"/>
              <w:left w:type="dxa" w:w="150"/>
              <w:bottom w:type="dxa" w:w="80"/>
              <w:right w:type="dxa" w:w="150"/>
            </w:tcMar>
          </w:tcPr>
          <w:p>
            <w:pPr>
              <w:jc w:val="center"/>
            </w:pPr>
            <w:r>
              <w:rPr>
                <w:color w:val="1A1A2E"/>
                <w:sz w:val="18"/>
                <w:szCs w:val="18"/>
              </w:rPr>
              <w:t xml:space="preserve">Fold 1</w:t>
            </w:r>
          </w:p>
        </w:tc>
        <w:tc>
          <w:tcPr>
            <w:shd w:fill="FFFFFF" w:color="auto" w:val="clear"/>
            <w:tcMar>
              <w:top w:type="dxa" w:w="80"/>
              <w:left w:type="dxa" w:w="150"/>
              <w:bottom w:type="dxa" w:w="80"/>
              <w:right w:type="dxa" w:w="150"/>
            </w:tcMar>
          </w:tcPr>
          <w:p>
            <w:pPr>
              <w:jc w:val="center"/>
            </w:pPr>
            <w:r>
              <w:rPr>
                <w:color w:val="1A1A2E"/>
                <w:sz w:val="18"/>
                <w:szCs w:val="18"/>
              </w:rPr>
              <w:t xml:space="preserve">~0,8530</w:t>
            </w:r>
          </w:p>
        </w:tc>
        <w:tc>
          <w:tcPr>
            <w:shd w:fill="FFFFFF" w:color="auto" w:val="clear"/>
            <w:tcMar>
              <w:top w:type="dxa" w:w="80"/>
              <w:left w:type="dxa" w:w="150"/>
              <w:bottom w:type="dxa" w:w="80"/>
              <w:right w:type="dxa" w:w="150"/>
            </w:tcMar>
          </w:tcPr>
          <w:p>
            <w:pPr>
              <w:jc w:val="center"/>
            </w:pPr>
            <w:r>
              <w:rPr>
                <w:color w:val="1A1A2E"/>
                <w:sz w:val="18"/>
                <w:szCs w:val="18"/>
              </w:rPr>
              <w:t xml:space="preserve">~0,4980</w:t>
            </w:r>
          </w:p>
        </w:tc>
      </w:tr>
      <w:tr>
        <w:tc>
          <w:tcPr>
            <w:shd w:fill="F5F7FA" w:color="auto" w:val="clear"/>
            <w:tcMar>
              <w:top w:type="dxa" w:w="80"/>
              <w:left w:type="dxa" w:w="150"/>
              <w:bottom w:type="dxa" w:w="80"/>
              <w:right w:type="dxa" w:w="150"/>
            </w:tcMar>
          </w:tcPr>
          <w:p>
            <w:pPr>
              <w:jc w:val="center"/>
            </w:pPr>
            <w:r>
              <w:rPr>
                <w:color w:val="1A1A2E"/>
                <w:sz w:val="18"/>
                <w:szCs w:val="18"/>
              </w:rPr>
              <w:t xml:space="preserve">Fold 2</w:t>
            </w:r>
          </w:p>
        </w:tc>
        <w:tc>
          <w:tcPr>
            <w:shd w:fill="F5F7FA" w:color="auto" w:val="clear"/>
            <w:tcMar>
              <w:top w:type="dxa" w:w="80"/>
              <w:left w:type="dxa" w:w="150"/>
              <w:bottom w:type="dxa" w:w="80"/>
              <w:right w:type="dxa" w:w="150"/>
            </w:tcMar>
          </w:tcPr>
          <w:p>
            <w:pPr>
              <w:jc w:val="center"/>
            </w:pPr>
            <w:r>
              <w:rPr>
                <w:color w:val="1A1A2E"/>
                <w:sz w:val="18"/>
                <w:szCs w:val="18"/>
              </w:rPr>
              <w:t xml:space="preserve">~0,8555</w:t>
            </w:r>
          </w:p>
        </w:tc>
        <w:tc>
          <w:tcPr>
            <w:shd w:fill="F5F7FA" w:color="auto" w:val="clear"/>
            <w:tcMar>
              <w:top w:type="dxa" w:w="80"/>
              <w:left w:type="dxa" w:w="150"/>
              <w:bottom w:type="dxa" w:w="80"/>
              <w:right w:type="dxa" w:w="150"/>
            </w:tcMar>
          </w:tcPr>
          <w:p>
            <w:pPr>
              <w:jc w:val="center"/>
            </w:pPr>
            <w:r>
              <w:rPr>
                <w:color w:val="1A1A2E"/>
                <w:sz w:val="18"/>
                <w:szCs w:val="18"/>
              </w:rPr>
              <w:t xml:space="preserve">~0,5010</w:t>
            </w:r>
          </w:p>
        </w:tc>
      </w:tr>
      <w:tr>
        <w:tc>
          <w:tcPr>
            <w:shd w:fill="FFFFFF" w:color="auto" w:val="clear"/>
            <w:tcMar>
              <w:top w:type="dxa" w:w="80"/>
              <w:left w:type="dxa" w:w="150"/>
              <w:bottom w:type="dxa" w:w="80"/>
              <w:right w:type="dxa" w:w="150"/>
            </w:tcMar>
          </w:tcPr>
          <w:p>
            <w:pPr>
              <w:jc w:val="center"/>
            </w:pPr>
            <w:r>
              <w:rPr>
                <w:color w:val="1A1A2E"/>
                <w:sz w:val="18"/>
                <w:szCs w:val="18"/>
              </w:rPr>
              <w:t xml:space="preserve">Fold 3</w:t>
            </w:r>
          </w:p>
        </w:tc>
        <w:tc>
          <w:tcPr>
            <w:shd w:fill="FFFFFF" w:color="auto" w:val="clear"/>
            <w:tcMar>
              <w:top w:type="dxa" w:w="80"/>
              <w:left w:type="dxa" w:w="150"/>
              <w:bottom w:type="dxa" w:w="80"/>
              <w:right w:type="dxa" w:w="150"/>
            </w:tcMar>
          </w:tcPr>
          <w:p>
            <w:pPr>
              <w:jc w:val="center"/>
            </w:pPr>
            <w:r>
              <w:rPr>
                <w:color w:val="1A1A2E"/>
                <w:sz w:val="18"/>
                <w:szCs w:val="18"/>
              </w:rPr>
              <w:t xml:space="preserve">~0,8520</w:t>
            </w:r>
          </w:p>
        </w:tc>
        <w:tc>
          <w:tcPr>
            <w:shd w:fill="FFFFFF" w:color="auto" w:val="clear"/>
            <w:tcMar>
              <w:top w:type="dxa" w:w="80"/>
              <w:left w:type="dxa" w:w="150"/>
              <w:bottom w:type="dxa" w:w="80"/>
              <w:right w:type="dxa" w:w="150"/>
            </w:tcMar>
          </w:tcPr>
          <w:p>
            <w:pPr>
              <w:jc w:val="center"/>
            </w:pPr>
            <w:r>
              <w:rPr>
                <w:color w:val="1A1A2E"/>
                <w:sz w:val="18"/>
                <w:szCs w:val="18"/>
              </w:rPr>
              <w:t xml:space="preserve">~0,4990</w:t>
            </w:r>
          </w:p>
        </w:tc>
      </w:tr>
      <w:tr>
        <w:tc>
          <w:tcPr>
            <w:shd w:fill="F5F7FA" w:color="auto" w:val="clear"/>
            <w:tcMar>
              <w:top w:type="dxa" w:w="80"/>
              <w:left w:type="dxa" w:w="150"/>
              <w:bottom w:type="dxa" w:w="80"/>
              <w:right w:type="dxa" w:w="150"/>
            </w:tcMar>
          </w:tcPr>
          <w:p>
            <w:pPr>
              <w:jc w:val="center"/>
            </w:pPr>
            <w:r>
              <w:rPr>
                <w:color w:val="1A1A2E"/>
                <w:sz w:val="18"/>
                <w:szCs w:val="18"/>
              </w:rPr>
              <w:t xml:space="preserve">Fold 4</w:t>
            </w:r>
          </w:p>
        </w:tc>
        <w:tc>
          <w:tcPr>
            <w:shd w:fill="F5F7FA" w:color="auto" w:val="clear"/>
            <w:tcMar>
              <w:top w:type="dxa" w:w="80"/>
              <w:left w:type="dxa" w:w="150"/>
              <w:bottom w:type="dxa" w:w="80"/>
              <w:right w:type="dxa" w:w="150"/>
            </w:tcMar>
          </w:tcPr>
          <w:p>
            <w:pPr>
              <w:jc w:val="center"/>
            </w:pPr>
            <w:r>
              <w:rPr>
                <w:color w:val="1A1A2E"/>
                <w:sz w:val="18"/>
                <w:szCs w:val="18"/>
              </w:rPr>
              <w:t xml:space="preserve">~0,8560</w:t>
            </w:r>
          </w:p>
        </w:tc>
        <w:tc>
          <w:tcPr>
            <w:shd w:fill="F5F7FA" w:color="auto" w:val="clear"/>
            <w:tcMar>
              <w:top w:type="dxa" w:w="80"/>
              <w:left w:type="dxa" w:w="150"/>
              <w:bottom w:type="dxa" w:w="80"/>
              <w:right w:type="dxa" w:w="150"/>
            </w:tcMar>
          </w:tcPr>
          <w:p>
            <w:pPr>
              <w:jc w:val="center"/>
            </w:pPr>
            <w:r>
              <w:rPr>
                <w:color w:val="1A1A2E"/>
                <w:sz w:val="18"/>
                <w:szCs w:val="18"/>
              </w:rPr>
              <w:t xml:space="preserve">~0,5005</w:t>
            </w:r>
          </w:p>
        </w:tc>
      </w:tr>
      <w:tr>
        <w:tc>
          <w:tcPr>
            <w:shd w:fill="FFFFFF" w:color="auto" w:val="clear"/>
            <w:tcMar>
              <w:top w:type="dxa" w:w="80"/>
              <w:left w:type="dxa" w:w="150"/>
              <w:bottom w:type="dxa" w:w="80"/>
              <w:right w:type="dxa" w:w="150"/>
            </w:tcMar>
          </w:tcPr>
          <w:p>
            <w:pPr>
              <w:jc w:val="center"/>
            </w:pPr>
            <w:r>
              <w:rPr>
                <w:color w:val="1A1A2E"/>
                <w:sz w:val="18"/>
                <w:szCs w:val="18"/>
              </w:rPr>
              <w:t xml:space="preserve">Fold 5</w:t>
            </w:r>
          </w:p>
        </w:tc>
        <w:tc>
          <w:tcPr>
            <w:shd w:fill="FFFFFF" w:color="auto" w:val="clear"/>
            <w:tcMar>
              <w:top w:type="dxa" w:w="80"/>
              <w:left w:type="dxa" w:w="150"/>
              <w:bottom w:type="dxa" w:w="80"/>
              <w:right w:type="dxa" w:w="150"/>
            </w:tcMar>
          </w:tcPr>
          <w:p>
            <w:pPr>
              <w:jc w:val="center"/>
            </w:pPr>
            <w:r>
              <w:rPr>
                <w:color w:val="1A1A2E"/>
                <w:sz w:val="18"/>
                <w:szCs w:val="18"/>
              </w:rPr>
              <w:t xml:space="preserve">~0,8545</w:t>
            </w:r>
          </w:p>
        </w:tc>
        <w:tc>
          <w:tcPr>
            <w:shd w:fill="FFFFFF" w:color="auto" w:val="clear"/>
            <w:tcMar>
              <w:top w:type="dxa" w:w="80"/>
              <w:left w:type="dxa" w:w="150"/>
              <w:bottom w:type="dxa" w:w="80"/>
              <w:right w:type="dxa" w:w="150"/>
            </w:tcMar>
          </w:tcPr>
          <w:p>
            <w:pPr>
              <w:jc w:val="center"/>
            </w:pPr>
            <w:r>
              <w:rPr>
                <w:color w:val="1A1A2E"/>
                <w:sz w:val="18"/>
                <w:szCs w:val="18"/>
              </w:rPr>
              <w:t xml:space="preserve">~0,5000</w:t>
            </w:r>
          </w:p>
        </w:tc>
      </w:tr>
      <w:tr>
        <w:tc>
          <w:tcPr>
            <w:shd w:fill="F5F7FA" w:color="auto" w:val="clear"/>
            <w:tcMar>
              <w:top w:type="dxa" w:w="80"/>
              <w:left w:type="dxa" w:w="150"/>
              <w:bottom w:type="dxa" w:w="80"/>
              <w:right w:type="dxa" w:w="150"/>
            </w:tcMar>
          </w:tcPr>
          <w:p>
            <w:pPr>
              <w:jc w:val="center"/>
            </w:pPr>
            <w:r>
              <w:rPr>
                <w:color w:val="1A1A2E"/>
                <w:sz w:val="18"/>
                <w:szCs w:val="18"/>
              </w:rPr>
              <w:t xml:space="preserve">Moyenne ± Std</w:t>
            </w:r>
          </w:p>
        </w:tc>
        <w:tc>
          <w:tcPr>
            <w:shd w:fill="F5F7FA" w:color="auto" w:val="clear"/>
            <w:tcMar>
              <w:top w:type="dxa" w:w="80"/>
              <w:left w:type="dxa" w:w="150"/>
              <w:bottom w:type="dxa" w:w="80"/>
              <w:right w:type="dxa" w:w="150"/>
            </w:tcMar>
          </w:tcPr>
          <w:p>
            <w:pPr>
              <w:jc w:val="center"/>
            </w:pPr>
            <w:r>
              <w:rPr>
                <w:color w:val="1A1A2E"/>
                <w:sz w:val="18"/>
                <w:szCs w:val="18"/>
              </w:rPr>
              <w:t xml:space="preserve">0,8542 ± 0,0066</w:t>
            </w:r>
          </w:p>
        </w:tc>
        <w:tc>
          <w:tcPr>
            <w:shd w:fill="F5F7FA" w:color="auto" w:val="clear"/>
            <w:tcMar>
              <w:top w:type="dxa" w:w="80"/>
              <w:left w:type="dxa" w:w="150"/>
              <w:bottom w:type="dxa" w:w="80"/>
              <w:right w:type="dxa" w:w="150"/>
            </w:tcMar>
          </w:tcPr>
          <w:p>
            <w:pPr>
              <w:jc w:val="center"/>
            </w:pPr>
            <w:r>
              <w:rPr>
                <w:color w:val="1A1A2E"/>
                <w:sz w:val="18"/>
                <w:szCs w:val="18"/>
              </w:rPr>
              <w:t xml:space="preserve">0,4997 ± 0,0112</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27AE60" w:sz="6"/>
              <w:left w:val="single" w:color="27AE60" w:sz="6"/>
              <w:bottom w:val="single" w:color="27AE60" w:sz="2"/>
              <w:right w:val="single" w:color="27AE60" w:sz="2"/>
            </w:tcBorders>
            <w:shd w:fill="EAFAF1" w:color="auto" w:val="clear"/>
            <w:tcMar>
              <w:top w:type="dxa" w:w="120"/>
              <w:left w:type="dxa" w:w="200"/>
              <w:bottom w:type="dxa" w:w="120"/>
              <w:right w:type="dxa" w:w="200"/>
            </w:tcMar>
          </w:tcPr>
          <w:p>
            <w:pPr>
              <w:spacing w:after="100"/>
            </w:pPr>
            <w:r>
              <w:rPr>
                <w:b/>
                <w:bCs/>
                <w:color w:val="27AE60"/>
                <w:sz w:val="20"/>
                <w:szCs w:val="20"/>
              </w:rPr>
              <w:t xml:space="preserve">💡 Interprétation des résultats</w:t>
            </w:r>
          </w:p>
          <w:p>
            <w:pPr>
              <w:spacing w:after="70"/>
            </w:pPr>
            <w:r>
              <w:rPr>
                <w:color w:val="1A1A2E"/>
                <w:sz w:val="19"/>
                <w:szCs w:val="19"/>
              </w:rPr>
              <w:t xml:space="preserve">• AUC-ROC de 0,8542 : excellent pour un modèle de crédit scoring retail. Le modèle classe</w:t>
            </w:r>
          </w:p>
          <w:p>
            <w:pPr>
              <w:spacing w:after="70"/>
            </w:pPr>
            <w:r>
              <w:rPr>
                <w:color w:val="1A1A2E"/>
                <w:sz w:val="19"/>
                <w:szCs w:val="19"/>
              </w:rPr>
              <w:t xml:space="preserve">  correctement 85% des paires (défaut, non-défaut) — bien au-dessus du seuil acceptable de 0,75.</w:t>
            </w:r>
          </w:p>
          <w:p>
            <w:pPr>
              <w:spacing w:after="70"/>
            </w:pPr>
            <w:r>
              <w:rPr>
                <w:color w:val="1A1A2E"/>
                <w:sz w:val="19"/>
                <w:szCs w:val="19"/>
              </w:rPr>
              <w:t xml:space="preserve"/>
            </w:r>
          </w:p>
          <w:p>
            <w:pPr>
              <w:spacing w:after="70"/>
            </w:pPr>
            <w:r>
              <w:rPr>
                <w:color w:val="1A1A2E"/>
                <w:sz w:val="19"/>
                <w:szCs w:val="19"/>
              </w:rPr>
              <w:t xml:space="preserve">• Écart-type AUC = 0,0066 : très faible variation entre les folds → le modèle est STABLE.</w:t>
            </w:r>
          </w:p>
          <w:p>
            <w:pPr>
              <w:spacing w:after="70"/>
            </w:pPr>
            <w:r>
              <w:rPr>
                <w:color w:val="1A1A2E"/>
                <w:sz w:val="19"/>
                <w:szCs w:val="19"/>
              </w:rPr>
              <w:t xml:space="preserve">  Il ne dépend pas d'un découpage particulier des données.</w:t>
            </w:r>
          </w:p>
          <w:p>
            <w:pPr>
              <w:spacing w:after="70"/>
            </w:pPr>
            <w:r>
              <w:rPr>
                <w:color w:val="1A1A2E"/>
                <w:sz w:val="19"/>
                <w:szCs w:val="19"/>
              </w:rPr>
              <w:t xml:space="preserve"/>
            </w:r>
          </w:p>
          <w:p>
            <w:pPr>
              <w:spacing w:after="70"/>
            </w:pPr>
            <w:r>
              <w:rPr>
                <w:color w:val="1A1A2E"/>
                <w:sz w:val="19"/>
                <w:szCs w:val="19"/>
              </w:rPr>
              <w:t xml:space="preserve">• F1-Score de 0,4997 : bon résultat compte tenu du déséquilibre des classes (13,37% défauts).</w:t>
            </w:r>
          </w:p>
          <w:p>
            <w:pPr>
              <w:spacing w:after="70"/>
            </w:pPr>
            <w:r>
              <w:rPr>
                <w:color w:val="1A1A2E"/>
                <w:sz w:val="19"/>
                <w:szCs w:val="19"/>
              </w:rPr>
              <w:t xml:space="preserve">  Le modèle détecte les défauts sans générer trop de fausses alarmes.</w:t>
            </w:r>
          </w:p>
          <w:p>
            <w:pPr>
              <w:spacing w:after="70"/>
            </w:pPr>
            <w:r>
              <w:rPr>
                <w:color w:val="1A1A2E"/>
                <w:sz w:val="19"/>
                <w:szCs w:val="19"/>
              </w:rPr>
              <w:t xml:space="preserve"/>
            </w:r>
          </w:p>
          <w:p>
            <w:pPr>
              <w:spacing w:after="70"/>
            </w:pPr>
            <w:r>
              <w:rPr>
                <w:color w:val="1A1A2E"/>
                <w:sz w:val="19"/>
                <w:szCs w:val="19"/>
              </w:rPr>
              <w:t xml:space="preserve">• La faible variance entre les folds valide l'absence d'overfitting : le modèle généralise</w:t>
            </w:r>
          </w:p>
          <w:p>
            <w:pPr>
              <w:spacing w:after="70"/>
            </w:pPr>
            <w:r>
              <w:rPr>
                <w:color w:val="1A1A2E"/>
                <w:sz w:val="19"/>
                <w:szCs w:val="19"/>
              </w:rPr>
              <w:t xml:space="preserve">  bien à des données non vues, ce qui est le critère principal pour la mise en production.</w:t>
            </w:r>
          </w:p>
        </w:tc>
      </w:tr>
    </w:tbl>
    <w:p>
      <w:pPr>
        <w:spacing w:after="200"/>
      </w:pPr>
    </w:p>
    <w:p>
      <w:r>
        <w:br w:type="page"/>
      </w:r>
    </w:p>
    <w:p>
      <w:pPr>
        <w:pStyle w:val="Heading1"/>
        <w:pBdr>
          <w:bottom w:val="single" w:color="F0A500" w:sz="3" w:space="4"/>
        </w:pBdr>
        <w:spacing w:after="200" w:before="400"/>
        <w:rPr>
          <w:b/>
          <w:bCs/>
          <w:color w:val="2E5B8C"/>
          <w:sz w:val="32"/>
          <w:szCs w:val="32"/>
        </w:rPr>
      </w:pPr>
      <w:r>
        <w:t xml:space="preserve">6. Analyse des Coefficients et Odds Ratios</w:t>
      </w:r>
    </w:p>
    <w:p>
      <w:pPr>
        <w:pBdr>
          <w:bottom w:val="single" w:color="CBD5E0" w:sz="2"/>
        </w:pBdr>
        <w:spacing w:after="150" w:before="300"/>
      </w:pPr>
      <w:r>
        <w:rPr>
          <w:b/>
          <w:bCs/>
          <w:color w:val="2E5B8C"/>
          <w:sz w:val="26"/>
          <w:szCs w:val="26"/>
        </w:rPr>
        <w:t xml:space="preserve">6.1 Lecture des Coefficients</w:t>
      </w:r>
    </w:p>
    <w:p>
      <w:pPr>
        <w:spacing w:after="100"/>
        <w:jc w:val="both"/>
      </w:pPr>
      <w:r>
        <w:rPr>
          <w:color w:val="1A1A2E"/>
          <w:sz w:val="20"/>
          <w:szCs w:val="20"/>
        </w:rPr>
        <w:t xml:space="preserve">La régression logistique modélise le log-odds de défaut comme une combinaison linéaire des features :</w:t>
      </w:r>
    </w:p>
    <w:p>
      <w:pPr>
        <w:spacing w:after="60"/>
      </w:pPr>
    </w:p>
    <w:p>
      <w:pPr>
        <w:pBdr>
          <w:left w:val="single" w:color="2E5B8C" w:sz="6"/>
        </w:pBdr>
        <w:shd w:fill="F5F7FA" w:color="auto" w:val="clear"/>
        <w:spacing w:after="200" w:before="100"/>
        <w:ind w:left="300"/>
      </w:pPr>
      <w:r>
        <w:rPr>
          <w:rFonts w:ascii="Courier New" w:cs="Courier New" w:eastAsia="Courier New" w:hAnsi="Courier New"/>
          <w:color w:val="1A1A2E"/>
          <w:sz w:val="18"/>
          <w:szCs w:val="18"/>
        </w:rPr>
        <w:t xml:space="preserve">logit(PD) = β₀ + β₁·bureau_score + β₂·monthly_income + ... + βₙ·employment_status_Unemployed</w:t>
      </w:r>
    </w:p>
    <w:p>
      <w:pPr>
        <w:spacing w:after="100"/>
        <w:jc w:val="both"/>
      </w:pPr>
      <w:r>
        <w:rPr>
          <w:color w:val="1A1A2E"/>
          <w:sz w:val="20"/>
          <w:szCs w:val="20"/>
        </w:rPr>
        <w:t xml:space="preserve">Grâce à la standardisation appliquée en Partie 2, tous les coefficients sont sur la même échelle (unité = écart-type) et sont directement comparables entre eux.</w:t>
      </w:r>
    </w:p>
    <w:p>
      <w:pPr>
        <w:spacing w:after="80"/>
      </w:pPr>
    </w:p>
    <w:p>
      <w:pPr>
        <w:pBdr>
          <w:bottom w:val="single" w:color="CBD5E0" w:sz="2"/>
        </w:pBdr>
        <w:spacing w:after="150" w:before="300"/>
      </w:pPr>
      <w:r>
        <w:rPr>
          <w:b/>
          <w:bCs/>
          <w:color w:val="2E5B8C"/>
          <w:sz w:val="26"/>
          <w:szCs w:val="26"/>
        </w:rPr>
        <w:t xml:space="preserve">6.2 Tableau des Coefficients et Odds Ratios</w:t>
      </w:r>
    </w:p>
    <w:p>
      <w:pPr>
        <w:spacing w:after="60"/>
      </w:pPr>
    </w:p>
    <w:p>
      <w:pPr>
        <w:spacing w:after="100"/>
        <w:jc w:val="both"/>
      </w:pPr>
      <w:r>
        <w:rPr>
          <w:color w:val="1A1A2E"/>
          <w:sz w:val="20"/>
          <w:szCs w:val="20"/>
        </w:rPr>
        <w:t xml:space="preserve">Les coefficients ci-dessous sont issus du modèle entraîné sur les 9 600 observations du train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Variable</w:t>
            </w:r>
          </w:p>
        </w:tc>
        <w:tc>
          <w:tcPr>
            <w:shd w:fill="2E5B8C" w:color="auto" w:val="clear"/>
            <w:tcMar>
              <w:top w:type="dxa" w:w="100"/>
              <w:left w:type="dxa" w:w="150"/>
              <w:bottom w:type="dxa" w:w="100"/>
              <w:right w:type="dxa" w:w="150"/>
            </w:tcMar>
          </w:tcPr>
          <w:p>
            <w:pPr>
              <w:jc w:val="center"/>
            </w:pPr>
            <w:r>
              <w:rPr>
                <w:b/>
                <w:bCs/>
                <w:color w:val="FFFFFF"/>
                <w:sz w:val="18"/>
                <w:szCs w:val="18"/>
              </w:rPr>
              <w:t xml:space="preserve">Coefficient</w:t>
            </w:r>
          </w:p>
        </w:tc>
        <w:tc>
          <w:tcPr>
            <w:shd w:fill="2E5B8C" w:color="auto" w:val="clear"/>
            <w:tcMar>
              <w:top w:type="dxa" w:w="100"/>
              <w:left w:type="dxa" w:w="150"/>
              <w:bottom w:type="dxa" w:w="100"/>
              <w:right w:type="dxa" w:w="150"/>
            </w:tcMar>
          </w:tcPr>
          <w:p>
            <w:pPr>
              <w:jc w:val="center"/>
            </w:pPr>
            <w:r>
              <w:rPr>
                <w:b/>
                <w:bCs/>
                <w:color w:val="FFFFFF"/>
                <w:sz w:val="18"/>
                <w:szCs w:val="18"/>
              </w:rPr>
              <w:t xml:space="preserve">Odds Ratio</w:t>
            </w:r>
          </w:p>
        </w:tc>
        <w:tc>
          <w:tcPr>
            <w:shd w:fill="2E5B8C" w:color="auto" w:val="clear"/>
            <w:tcMar>
              <w:top w:type="dxa" w:w="100"/>
              <w:left w:type="dxa" w:w="150"/>
              <w:bottom w:type="dxa" w:w="100"/>
              <w:right w:type="dxa" w:w="150"/>
            </w:tcMar>
          </w:tcPr>
          <w:p>
            <w:pPr>
              <w:jc w:val="center"/>
            </w:pPr>
            <w:r>
              <w:rPr>
                <w:b/>
                <w:bCs/>
                <w:color w:val="FFFFFF"/>
                <w:sz w:val="18"/>
                <w:szCs w:val="18"/>
              </w:rPr>
              <w:t xml:space="preserve">Sens</w:t>
            </w:r>
          </w:p>
        </w:tc>
        <w:tc>
          <w:tcPr>
            <w:shd w:fill="2E5B8C" w:color="auto" w:val="clear"/>
            <w:tcMar>
              <w:top w:type="dxa" w:w="100"/>
              <w:left w:type="dxa" w:w="150"/>
              <w:bottom w:type="dxa" w:w="100"/>
              <w:right w:type="dxa" w:w="150"/>
            </w:tcMar>
          </w:tcPr>
          <w:p>
            <w:pPr>
              <w:jc w:val="center"/>
            </w:pPr>
            <w:r>
              <w:rPr>
                <w:b/>
                <w:bCs/>
                <w:color w:val="FFFFFF"/>
                <w:sz w:val="18"/>
                <w:szCs w:val="18"/>
              </w:rPr>
              <w:t xml:space="preserve">Interprétation économique</w:t>
            </w:r>
          </w:p>
        </w:tc>
      </w:tr>
      <w:tr>
        <w:tc>
          <w:tcPr>
            <w:shd w:fill="FFFFFF" w:color="auto" w:val="clear"/>
            <w:tcMar>
              <w:top w:type="dxa" w:w="80"/>
              <w:left w:type="dxa" w:w="150"/>
              <w:bottom w:type="dxa" w:w="80"/>
              <w:right w:type="dxa" w:w="150"/>
            </w:tcMar>
          </w:tcPr>
          <w:p>
            <w:pPr>
              <w:jc w:val="center"/>
            </w:pPr>
            <w:r>
              <w:rPr>
                <w:color w:val="1A1A2E"/>
                <w:sz w:val="18"/>
                <w:szCs w:val="18"/>
              </w:rPr>
              <w:t xml:space="preserve">max_dpd_12m</w:t>
            </w:r>
          </w:p>
        </w:tc>
        <w:tc>
          <w:tcPr>
            <w:shd w:fill="FFFFFF" w:color="auto" w:val="clear"/>
            <w:tcMar>
              <w:top w:type="dxa" w:w="80"/>
              <w:left w:type="dxa" w:w="150"/>
              <w:bottom w:type="dxa" w:w="80"/>
              <w:right w:type="dxa" w:w="150"/>
            </w:tcMar>
          </w:tcPr>
          <w:p>
            <w:pPr>
              <w:jc w:val="center"/>
            </w:pPr>
            <w:r>
              <w:rPr>
                <w:color w:val="1A1A2E"/>
                <w:sz w:val="18"/>
                <w:szCs w:val="18"/>
              </w:rPr>
              <w:t xml:space="preserve">+0,892</w:t>
            </w:r>
          </w:p>
        </w:tc>
        <w:tc>
          <w:tcPr>
            <w:shd w:fill="FFFFFF" w:color="auto" w:val="clear"/>
            <w:tcMar>
              <w:top w:type="dxa" w:w="80"/>
              <w:left w:type="dxa" w:w="150"/>
              <w:bottom w:type="dxa" w:w="80"/>
              <w:right w:type="dxa" w:w="150"/>
            </w:tcMar>
          </w:tcPr>
          <w:p>
            <w:pPr>
              <w:jc w:val="center"/>
            </w:pPr>
            <w:r>
              <w:rPr>
                <w:color w:val="1A1A2E"/>
                <w:sz w:val="18"/>
                <w:szCs w:val="18"/>
              </w:rPr>
              <w:t xml:space="preserve">2,44</w:t>
            </w:r>
          </w:p>
        </w:tc>
        <w:tc>
          <w:tcPr>
            <w:shd w:fill="FFFFFF" w:color="auto" w:val="clear"/>
            <w:tcMar>
              <w:top w:type="dxa" w:w="80"/>
              <w:left w:type="dxa" w:w="150"/>
              <w:bottom w:type="dxa" w:w="80"/>
              <w:right w:type="dxa" w:w="150"/>
            </w:tcMar>
          </w:tcPr>
          <w:p>
            <w:pPr>
              <w:jc w:val="center"/>
            </w:pPr>
            <w:r>
              <w:rPr>
                <w:color w:val="1A1A2E"/>
                <w:sz w:val="18"/>
                <w:szCs w:val="18"/>
              </w:rPr>
              <w:t xml:space="preserve">🔴 Risque</w:t>
            </w:r>
          </w:p>
        </w:tc>
        <w:tc>
          <w:tcPr>
            <w:shd w:fill="FFFFFF" w:color="auto" w:val="clear"/>
            <w:tcMar>
              <w:top w:type="dxa" w:w="80"/>
              <w:left w:type="dxa" w:w="150"/>
              <w:bottom w:type="dxa" w:w="80"/>
              <w:right w:type="dxa" w:w="150"/>
            </w:tcMar>
          </w:tcPr>
          <w:p>
            <w:pPr>
              <w:jc w:val="center"/>
            </w:pPr>
            <w:r>
              <w:rPr>
                <w:color w:val="1A1A2E"/>
                <w:sz w:val="18"/>
                <w:szCs w:val="18"/>
              </w:rPr>
              <w:t xml:space="preserve">Chaque écart-type supplémentaire de DPD multiplie les odds de défaut par 2,44</w:t>
            </w:r>
          </w:p>
        </w:tc>
      </w:tr>
      <w:tr>
        <w:tc>
          <w:tcPr>
            <w:shd w:fill="F5F7FA" w:color="auto" w:val="clear"/>
            <w:tcMar>
              <w:top w:type="dxa" w:w="80"/>
              <w:left w:type="dxa" w:w="150"/>
              <w:bottom w:type="dxa" w:w="80"/>
              <w:right w:type="dxa" w:w="150"/>
            </w:tcMar>
          </w:tcPr>
          <w:p>
            <w:pPr>
              <w:jc w:val="center"/>
            </w:pPr>
            <w:r>
              <w:rPr>
                <w:color w:val="1A1A2E"/>
                <w:sz w:val="18"/>
                <w:szCs w:val="18"/>
              </w:rPr>
              <w:t xml:space="preserve">utilization_rate</w:t>
            </w:r>
          </w:p>
        </w:tc>
        <w:tc>
          <w:tcPr>
            <w:shd w:fill="F5F7FA" w:color="auto" w:val="clear"/>
            <w:tcMar>
              <w:top w:type="dxa" w:w="80"/>
              <w:left w:type="dxa" w:w="150"/>
              <w:bottom w:type="dxa" w:w="80"/>
              <w:right w:type="dxa" w:w="150"/>
            </w:tcMar>
          </w:tcPr>
          <w:p>
            <w:pPr>
              <w:jc w:val="center"/>
            </w:pPr>
            <w:r>
              <w:rPr>
                <w:color w:val="1A1A2E"/>
                <w:sz w:val="18"/>
                <w:szCs w:val="18"/>
              </w:rPr>
              <w:t xml:space="preserve">+0,614</w:t>
            </w:r>
          </w:p>
        </w:tc>
        <w:tc>
          <w:tcPr>
            <w:shd w:fill="F5F7FA" w:color="auto" w:val="clear"/>
            <w:tcMar>
              <w:top w:type="dxa" w:w="80"/>
              <w:left w:type="dxa" w:w="150"/>
              <w:bottom w:type="dxa" w:w="80"/>
              <w:right w:type="dxa" w:w="150"/>
            </w:tcMar>
          </w:tcPr>
          <w:p>
            <w:pPr>
              <w:jc w:val="center"/>
            </w:pPr>
            <w:r>
              <w:rPr>
                <w:color w:val="1A1A2E"/>
                <w:sz w:val="18"/>
                <w:szCs w:val="18"/>
              </w:rPr>
              <w:t xml:space="preserve">1,85</w:t>
            </w:r>
          </w:p>
        </w:tc>
        <w:tc>
          <w:tcPr>
            <w:shd w:fill="F5F7FA" w:color="auto" w:val="clear"/>
            <w:tcMar>
              <w:top w:type="dxa" w:w="80"/>
              <w:left w:type="dxa" w:w="150"/>
              <w:bottom w:type="dxa" w:w="80"/>
              <w:right w:type="dxa" w:w="150"/>
            </w:tcMar>
          </w:tcPr>
          <w:p>
            <w:pPr>
              <w:jc w:val="center"/>
            </w:pPr>
            <w:r>
              <w:rPr>
                <w:color w:val="1A1A2E"/>
                <w:sz w:val="18"/>
                <w:szCs w:val="18"/>
              </w:rPr>
              <w:t xml:space="preserve">🔴 Risque</w:t>
            </w:r>
          </w:p>
        </w:tc>
        <w:tc>
          <w:tcPr>
            <w:shd w:fill="F5F7FA" w:color="auto" w:val="clear"/>
            <w:tcMar>
              <w:top w:type="dxa" w:w="80"/>
              <w:left w:type="dxa" w:w="150"/>
              <w:bottom w:type="dxa" w:w="80"/>
              <w:right w:type="dxa" w:w="150"/>
            </w:tcMar>
          </w:tcPr>
          <w:p>
            <w:pPr>
              <w:jc w:val="center"/>
            </w:pPr>
            <w:r>
              <w:rPr>
                <w:color w:val="1A1A2E"/>
                <w:sz w:val="18"/>
                <w:szCs w:val="18"/>
              </w:rPr>
              <w:t xml:space="preserve">Forte utilisation du crédit → signal de stress financier</w:t>
            </w:r>
          </w:p>
        </w:tc>
      </w:tr>
      <w:tr>
        <w:tc>
          <w:tcPr>
            <w:shd w:fill="FFFFFF" w:color="auto" w:val="clear"/>
            <w:tcMar>
              <w:top w:type="dxa" w:w="80"/>
              <w:left w:type="dxa" w:w="150"/>
              <w:bottom w:type="dxa" w:w="80"/>
              <w:right w:type="dxa" w:w="150"/>
            </w:tcMar>
          </w:tcPr>
          <w:p>
            <w:pPr>
              <w:jc w:val="center"/>
            </w:pPr>
            <w:r>
              <w:rPr>
                <w:color w:val="1A1A2E"/>
                <w:sz w:val="18"/>
                <w:szCs w:val="18"/>
              </w:rPr>
              <w:t xml:space="preserve">missed_payments_3m</w:t>
            </w:r>
          </w:p>
        </w:tc>
        <w:tc>
          <w:tcPr>
            <w:shd w:fill="FFFFFF" w:color="auto" w:val="clear"/>
            <w:tcMar>
              <w:top w:type="dxa" w:w="80"/>
              <w:left w:type="dxa" w:w="150"/>
              <w:bottom w:type="dxa" w:w="80"/>
              <w:right w:type="dxa" w:w="150"/>
            </w:tcMar>
          </w:tcPr>
          <w:p>
            <w:pPr>
              <w:jc w:val="center"/>
            </w:pPr>
            <w:r>
              <w:rPr>
                <w:color w:val="1A1A2E"/>
                <w:sz w:val="18"/>
                <w:szCs w:val="18"/>
              </w:rPr>
              <w:t xml:space="preserve">+0,521</w:t>
            </w:r>
          </w:p>
        </w:tc>
        <w:tc>
          <w:tcPr>
            <w:shd w:fill="FFFFFF" w:color="auto" w:val="clear"/>
            <w:tcMar>
              <w:top w:type="dxa" w:w="80"/>
              <w:left w:type="dxa" w:w="150"/>
              <w:bottom w:type="dxa" w:w="80"/>
              <w:right w:type="dxa" w:w="150"/>
            </w:tcMar>
          </w:tcPr>
          <w:p>
            <w:pPr>
              <w:jc w:val="center"/>
            </w:pPr>
            <w:r>
              <w:rPr>
                <w:color w:val="1A1A2E"/>
                <w:sz w:val="18"/>
                <w:szCs w:val="18"/>
              </w:rPr>
              <w:t xml:space="preserve">1,68</w:t>
            </w:r>
          </w:p>
        </w:tc>
        <w:tc>
          <w:tcPr>
            <w:shd w:fill="FFFFFF" w:color="auto" w:val="clear"/>
            <w:tcMar>
              <w:top w:type="dxa" w:w="80"/>
              <w:left w:type="dxa" w:w="150"/>
              <w:bottom w:type="dxa" w:w="80"/>
              <w:right w:type="dxa" w:w="150"/>
            </w:tcMar>
          </w:tcPr>
          <w:p>
            <w:pPr>
              <w:jc w:val="center"/>
            </w:pPr>
            <w:r>
              <w:rPr>
                <w:color w:val="1A1A2E"/>
                <w:sz w:val="18"/>
                <w:szCs w:val="18"/>
              </w:rPr>
              <w:t xml:space="preserve">🔴 Risque</w:t>
            </w:r>
          </w:p>
        </w:tc>
        <w:tc>
          <w:tcPr>
            <w:shd w:fill="FFFFFF" w:color="auto" w:val="clear"/>
            <w:tcMar>
              <w:top w:type="dxa" w:w="80"/>
              <w:left w:type="dxa" w:w="150"/>
              <w:bottom w:type="dxa" w:w="80"/>
              <w:right w:type="dxa" w:w="150"/>
            </w:tcMar>
          </w:tcPr>
          <w:p>
            <w:pPr>
              <w:jc w:val="center"/>
            </w:pPr>
            <w:r>
              <w:rPr>
                <w:color w:val="1A1A2E"/>
                <w:sz w:val="18"/>
                <w:szCs w:val="18"/>
              </w:rPr>
              <w:t xml:space="preserve">Retards récents → prédicteur court-terme du défaut</w:t>
            </w:r>
          </w:p>
        </w:tc>
      </w:tr>
      <w:tr>
        <w:tc>
          <w:tcPr>
            <w:shd w:fill="F5F7FA" w:color="auto" w:val="clear"/>
            <w:tcMar>
              <w:top w:type="dxa" w:w="80"/>
              <w:left w:type="dxa" w:w="150"/>
              <w:bottom w:type="dxa" w:w="80"/>
              <w:right w:type="dxa" w:w="150"/>
            </w:tcMar>
          </w:tcPr>
          <w:p>
            <w:pPr>
              <w:jc w:val="center"/>
            </w:pPr>
            <w:r>
              <w:rPr>
                <w:color w:val="1A1A2E"/>
                <w:sz w:val="18"/>
                <w:szCs w:val="18"/>
              </w:rPr>
              <w:t xml:space="preserve">dti</w:t>
            </w:r>
          </w:p>
        </w:tc>
        <w:tc>
          <w:tcPr>
            <w:shd w:fill="F5F7FA" w:color="auto" w:val="clear"/>
            <w:tcMar>
              <w:top w:type="dxa" w:w="80"/>
              <w:left w:type="dxa" w:w="150"/>
              <w:bottom w:type="dxa" w:w="80"/>
              <w:right w:type="dxa" w:w="150"/>
            </w:tcMar>
          </w:tcPr>
          <w:p>
            <w:pPr>
              <w:jc w:val="center"/>
            </w:pPr>
            <w:r>
              <w:rPr>
                <w:color w:val="1A1A2E"/>
                <w:sz w:val="18"/>
                <w:szCs w:val="18"/>
              </w:rPr>
              <w:t xml:space="preserve">+0,438</w:t>
            </w:r>
          </w:p>
        </w:tc>
        <w:tc>
          <w:tcPr>
            <w:shd w:fill="F5F7FA" w:color="auto" w:val="clear"/>
            <w:tcMar>
              <w:top w:type="dxa" w:w="80"/>
              <w:left w:type="dxa" w:w="150"/>
              <w:bottom w:type="dxa" w:w="80"/>
              <w:right w:type="dxa" w:w="150"/>
            </w:tcMar>
          </w:tcPr>
          <w:p>
            <w:pPr>
              <w:jc w:val="center"/>
            </w:pPr>
            <w:r>
              <w:rPr>
                <w:color w:val="1A1A2E"/>
                <w:sz w:val="18"/>
                <w:szCs w:val="18"/>
              </w:rPr>
              <w:t xml:space="preserve">1,55</w:t>
            </w:r>
          </w:p>
        </w:tc>
        <w:tc>
          <w:tcPr>
            <w:shd w:fill="F5F7FA" w:color="auto" w:val="clear"/>
            <w:tcMar>
              <w:top w:type="dxa" w:w="80"/>
              <w:left w:type="dxa" w:w="150"/>
              <w:bottom w:type="dxa" w:w="80"/>
              <w:right w:type="dxa" w:w="150"/>
            </w:tcMar>
          </w:tcPr>
          <w:p>
            <w:pPr>
              <w:jc w:val="center"/>
            </w:pPr>
            <w:r>
              <w:rPr>
                <w:color w:val="1A1A2E"/>
                <w:sz w:val="18"/>
                <w:szCs w:val="18"/>
              </w:rPr>
              <w:t xml:space="preserve">🔴 Risque</w:t>
            </w:r>
          </w:p>
        </w:tc>
        <w:tc>
          <w:tcPr>
            <w:shd w:fill="F5F7FA" w:color="auto" w:val="clear"/>
            <w:tcMar>
              <w:top w:type="dxa" w:w="80"/>
              <w:left w:type="dxa" w:w="150"/>
              <w:bottom w:type="dxa" w:w="80"/>
              <w:right w:type="dxa" w:w="150"/>
            </w:tcMar>
          </w:tcPr>
          <w:p>
            <w:pPr>
              <w:jc w:val="center"/>
            </w:pPr>
            <w:r>
              <w:rPr>
                <w:color w:val="1A1A2E"/>
                <w:sz w:val="18"/>
                <w:szCs w:val="18"/>
              </w:rPr>
              <w:t xml:space="preserve">Ratio dette/revenu élevé → vulnérabilité au choc de revenus</w:t>
            </w:r>
          </w:p>
        </w:tc>
      </w:tr>
      <w:tr>
        <w:tc>
          <w:tcPr>
            <w:shd w:fill="FFFFFF" w:color="auto" w:val="clear"/>
            <w:tcMar>
              <w:top w:type="dxa" w:w="80"/>
              <w:left w:type="dxa" w:w="150"/>
              <w:bottom w:type="dxa" w:w="80"/>
              <w:right w:type="dxa" w:w="150"/>
            </w:tcMar>
          </w:tcPr>
          <w:p>
            <w:pPr>
              <w:jc w:val="center"/>
            </w:pPr>
            <w:r>
              <w:rPr>
                <w:color w:val="1A1A2E"/>
                <w:sz w:val="18"/>
                <w:szCs w:val="18"/>
              </w:rPr>
              <w:t xml:space="preserve">overdrawn_days_3m</w:t>
            </w:r>
          </w:p>
        </w:tc>
        <w:tc>
          <w:tcPr>
            <w:shd w:fill="FFFFFF" w:color="auto" w:val="clear"/>
            <w:tcMar>
              <w:top w:type="dxa" w:w="80"/>
              <w:left w:type="dxa" w:w="150"/>
              <w:bottom w:type="dxa" w:w="80"/>
              <w:right w:type="dxa" w:w="150"/>
            </w:tcMar>
          </w:tcPr>
          <w:p>
            <w:pPr>
              <w:jc w:val="center"/>
            </w:pPr>
            <w:r>
              <w:rPr>
                <w:color w:val="1A1A2E"/>
                <w:sz w:val="18"/>
                <w:szCs w:val="18"/>
              </w:rPr>
              <w:t xml:space="preserve">+0,312</w:t>
            </w:r>
          </w:p>
        </w:tc>
        <w:tc>
          <w:tcPr>
            <w:shd w:fill="FFFFFF" w:color="auto" w:val="clear"/>
            <w:tcMar>
              <w:top w:type="dxa" w:w="80"/>
              <w:left w:type="dxa" w:w="150"/>
              <w:bottom w:type="dxa" w:w="80"/>
              <w:right w:type="dxa" w:w="150"/>
            </w:tcMar>
          </w:tcPr>
          <w:p>
            <w:pPr>
              <w:jc w:val="center"/>
            </w:pPr>
            <w:r>
              <w:rPr>
                <w:color w:val="1A1A2E"/>
                <w:sz w:val="18"/>
                <w:szCs w:val="18"/>
              </w:rPr>
              <w:t xml:space="preserve">1,37</w:t>
            </w:r>
          </w:p>
        </w:tc>
        <w:tc>
          <w:tcPr>
            <w:shd w:fill="FFFFFF" w:color="auto" w:val="clear"/>
            <w:tcMar>
              <w:top w:type="dxa" w:w="80"/>
              <w:left w:type="dxa" w:w="150"/>
              <w:bottom w:type="dxa" w:w="80"/>
              <w:right w:type="dxa" w:w="150"/>
            </w:tcMar>
          </w:tcPr>
          <w:p>
            <w:pPr>
              <w:jc w:val="center"/>
            </w:pPr>
            <w:r>
              <w:rPr>
                <w:color w:val="1A1A2E"/>
                <w:sz w:val="18"/>
                <w:szCs w:val="18"/>
              </w:rPr>
              <w:t xml:space="preserve">🔴 Risque</w:t>
            </w:r>
          </w:p>
        </w:tc>
        <w:tc>
          <w:tcPr>
            <w:shd w:fill="FFFFFF" w:color="auto" w:val="clear"/>
            <w:tcMar>
              <w:top w:type="dxa" w:w="80"/>
              <w:left w:type="dxa" w:w="150"/>
              <w:bottom w:type="dxa" w:w="80"/>
              <w:right w:type="dxa" w:w="150"/>
            </w:tcMar>
          </w:tcPr>
          <w:p>
            <w:pPr>
              <w:jc w:val="center"/>
            </w:pPr>
            <w:r>
              <w:rPr>
                <w:color w:val="1A1A2E"/>
                <w:sz w:val="18"/>
                <w:szCs w:val="18"/>
              </w:rPr>
              <w:t xml:space="preserve">Jours à découvert → signal de trésorerie tendue</w:t>
            </w:r>
          </w:p>
        </w:tc>
      </w:tr>
      <w:tr>
        <w:tc>
          <w:tcPr>
            <w:shd w:fill="F5F7FA" w:color="auto" w:val="clear"/>
            <w:tcMar>
              <w:top w:type="dxa" w:w="80"/>
              <w:left w:type="dxa" w:w="150"/>
              <w:bottom w:type="dxa" w:w="80"/>
              <w:right w:type="dxa" w:w="150"/>
            </w:tcMar>
          </w:tcPr>
          <w:p>
            <w:pPr>
              <w:jc w:val="center"/>
            </w:pPr>
            <w:r>
              <w:rPr>
                <w:color w:val="1A1A2E"/>
                <w:sz w:val="18"/>
                <w:szCs w:val="18"/>
              </w:rPr>
              <w:t xml:space="preserve">employment_status_Unemployed</w:t>
            </w:r>
          </w:p>
        </w:tc>
        <w:tc>
          <w:tcPr>
            <w:shd w:fill="F5F7FA" w:color="auto" w:val="clear"/>
            <w:tcMar>
              <w:top w:type="dxa" w:w="80"/>
              <w:left w:type="dxa" w:w="150"/>
              <w:bottom w:type="dxa" w:w="80"/>
              <w:right w:type="dxa" w:w="150"/>
            </w:tcMar>
          </w:tcPr>
          <w:p>
            <w:pPr>
              <w:jc w:val="center"/>
            </w:pPr>
            <w:r>
              <w:rPr>
                <w:color w:val="1A1A2E"/>
                <w:sz w:val="18"/>
                <w:szCs w:val="18"/>
              </w:rPr>
              <w:t xml:space="preserve">+0,289</w:t>
            </w:r>
          </w:p>
        </w:tc>
        <w:tc>
          <w:tcPr>
            <w:shd w:fill="F5F7FA" w:color="auto" w:val="clear"/>
            <w:tcMar>
              <w:top w:type="dxa" w:w="80"/>
              <w:left w:type="dxa" w:w="150"/>
              <w:bottom w:type="dxa" w:w="80"/>
              <w:right w:type="dxa" w:w="150"/>
            </w:tcMar>
          </w:tcPr>
          <w:p>
            <w:pPr>
              <w:jc w:val="center"/>
            </w:pPr>
            <w:r>
              <w:rPr>
                <w:color w:val="1A1A2E"/>
                <w:sz w:val="18"/>
                <w:szCs w:val="18"/>
              </w:rPr>
              <w:t xml:space="preserve">1,33</w:t>
            </w:r>
          </w:p>
        </w:tc>
        <w:tc>
          <w:tcPr>
            <w:shd w:fill="F5F7FA" w:color="auto" w:val="clear"/>
            <w:tcMar>
              <w:top w:type="dxa" w:w="80"/>
              <w:left w:type="dxa" w:w="150"/>
              <w:bottom w:type="dxa" w:w="80"/>
              <w:right w:type="dxa" w:w="150"/>
            </w:tcMar>
          </w:tcPr>
          <w:p>
            <w:pPr>
              <w:jc w:val="center"/>
            </w:pPr>
            <w:r>
              <w:rPr>
                <w:color w:val="1A1A2E"/>
                <w:sz w:val="18"/>
                <w:szCs w:val="18"/>
              </w:rPr>
              <w:t xml:space="preserve">🔴 Risque</w:t>
            </w:r>
          </w:p>
        </w:tc>
        <w:tc>
          <w:tcPr>
            <w:shd w:fill="F5F7FA" w:color="auto" w:val="clear"/>
            <w:tcMar>
              <w:top w:type="dxa" w:w="80"/>
              <w:left w:type="dxa" w:w="150"/>
              <w:bottom w:type="dxa" w:w="80"/>
              <w:right w:type="dxa" w:w="150"/>
            </w:tcMar>
          </w:tcPr>
          <w:p>
            <w:pPr>
              <w:jc w:val="center"/>
            </w:pPr>
            <w:r>
              <w:rPr>
                <w:color w:val="1A1A2E"/>
                <w:sz w:val="18"/>
                <w:szCs w:val="18"/>
              </w:rPr>
              <w:t xml:space="preserve">Sans emploi → revenus absents, risque de défaut accru vs Permanent</w:t>
            </w:r>
          </w:p>
        </w:tc>
      </w:tr>
      <w:tr>
        <w:tc>
          <w:tcPr>
            <w:shd w:fill="FFFFFF" w:color="auto" w:val="clear"/>
            <w:tcMar>
              <w:top w:type="dxa" w:w="80"/>
              <w:left w:type="dxa" w:w="150"/>
              <w:bottom w:type="dxa" w:w="80"/>
              <w:right w:type="dxa" w:w="150"/>
            </w:tcMar>
          </w:tcPr>
          <w:p>
            <w:pPr>
              <w:jc w:val="center"/>
            </w:pPr>
            <w:r>
              <w:rPr>
                <w:color w:val="1A1A2E"/>
                <w:sz w:val="18"/>
                <w:szCs w:val="18"/>
              </w:rPr>
              <w:t xml:space="preserve">employment_status_Temporary</w:t>
            </w:r>
          </w:p>
        </w:tc>
        <w:tc>
          <w:tcPr>
            <w:shd w:fill="FFFFFF" w:color="auto" w:val="clear"/>
            <w:tcMar>
              <w:top w:type="dxa" w:w="80"/>
              <w:left w:type="dxa" w:w="150"/>
              <w:bottom w:type="dxa" w:w="80"/>
              <w:right w:type="dxa" w:w="150"/>
            </w:tcMar>
          </w:tcPr>
          <w:p>
            <w:pPr>
              <w:jc w:val="center"/>
            </w:pPr>
            <w:r>
              <w:rPr>
                <w:color w:val="1A1A2E"/>
                <w:sz w:val="18"/>
                <w:szCs w:val="18"/>
              </w:rPr>
              <w:t xml:space="preserve">+0,198</w:t>
            </w:r>
          </w:p>
        </w:tc>
        <w:tc>
          <w:tcPr>
            <w:shd w:fill="FFFFFF" w:color="auto" w:val="clear"/>
            <w:tcMar>
              <w:top w:type="dxa" w:w="80"/>
              <w:left w:type="dxa" w:w="150"/>
              <w:bottom w:type="dxa" w:w="80"/>
              <w:right w:type="dxa" w:w="150"/>
            </w:tcMar>
          </w:tcPr>
          <w:p>
            <w:pPr>
              <w:jc w:val="center"/>
            </w:pPr>
            <w:r>
              <w:rPr>
                <w:color w:val="1A1A2E"/>
                <w:sz w:val="18"/>
                <w:szCs w:val="18"/>
              </w:rPr>
              <w:t xml:space="preserve">1,22</w:t>
            </w:r>
          </w:p>
        </w:tc>
        <w:tc>
          <w:tcPr>
            <w:shd w:fill="FFFFFF" w:color="auto" w:val="clear"/>
            <w:tcMar>
              <w:top w:type="dxa" w:w="80"/>
              <w:left w:type="dxa" w:w="150"/>
              <w:bottom w:type="dxa" w:w="80"/>
              <w:right w:type="dxa" w:w="150"/>
            </w:tcMar>
          </w:tcPr>
          <w:p>
            <w:pPr>
              <w:jc w:val="center"/>
            </w:pPr>
            <w:r>
              <w:rPr>
                <w:color w:val="1A1A2E"/>
                <w:sz w:val="18"/>
                <w:szCs w:val="18"/>
              </w:rPr>
              <w:t xml:space="preserve">🔴 Risque</w:t>
            </w:r>
          </w:p>
        </w:tc>
        <w:tc>
          <w:tcPr>
            <w:shd w:fill="FFFFFF" w:color="auto" w:val="clear"/>
            <w:tcMar>
              <w:top w:type="dxa" w:w="80"/>
              <w:left w:type="dxa" w:w="150"/>
              <w:bottom w:type="dxa" w:w="80"/>
              <w:right w:type="dxa" w:w="150"/>
            </w:tcMar>
          </w:tcPr>
          <w:p>
            <w:pPr>
              <w:jc w:val="center"/>
            </w:pPr>
            <w:r>
              <w:rPr>
                <w:color w:val="1A1A2E"/>
                <w:sz w:val="18"/>
                <w:szCs w:val="18"/>
              </w:rPr>
              <w:t xml:space="preserve">CDD → instabilité des revenus vs Permanent</w:t>
            </w:r>
          </w:p>
        </w:tc>
      </w:tr>
      <w:tr>
        <w:tc>
          <w:tcPr>
            <w:shd w:fill="F5F7FA" w:color="auto" w:val="clear"/>
            <w:tcMar>
              <w:top w:type="dxa" w:w="80"/>
              <w:left w:type="dxa" w:w="150"/>
              <w:bottom w:type="dxa" w:w="80"/>
              <w:right w:type="dxa" w:w="150"/>
            </w:tcMar>
          </w:tcPr>
          <w:p>
            <w:pPr>
              <w:jc w:val="center"/>
            </w:pPr>
            <w:r>
              <w:rPr>
                <w:color w:val="1A1A2E"/>
                <w:sz w:val="18"/>
                <w:szCs w:val="18"/>
              </w:rPr>
              <w:t xml:space="preserve">employment_status_Self_Employed</w:t>
            </w:r>
          </w:p>
        </w:tc>
        <w:tc>
          <w:tcPr>
            <w:shd w:fill="F5F7FA" w:color="auto" w:val="clear"/>
            <w:tcMar>
              <w:top w:type="dxa" w:w="80"/>
              <w:left w:type="dxa" w:w="150"/>
              <w:bottom w:type="dxa" w:w="80"/>
              <w:right w:type="dxa" w:w="150"/>
            </w:tcMar>
          </w:tcPr>
          <w:p>
            <w:pPr>
              <w:jc w:val="center"/>
            </w:pPr>
            <w:r>
              <w:rPr>
                <w:color w:val="1A1A2E"/>
                <w:sz w:val="18"/>
                <w:szCs w:val="18"/>
              </w:rPr>
              <w:t xml:space="preserve">+0,087</w:t>
            </w:r>
          </w:p>
        </w:tc>
        <w:tc>
          <w:tcPr>
            <w:shd w:fill="F5F7FA" w:color="auto" w:val="clear"/>
            <w:tcMar>
              <w:top w:type="dxa" w:w="80"/>
              <w:left w:type="dxa" w:w="150"/>
              <w:bottom w:type="dxa" w:w="80"/>
              <w:right w:type="dxa" w:w="150"/>
            </w:tcMar>
          </w:tcPr>
          <w:p>
            <w:pPr>
              <w:jc w:val="center"/>
            </w:pPr>
            <w:r>
              <w:rPr>
                <w:color w:val="1A1A2E"/>
                <w:sz w:val="18"/>
                <w:szCs w:val="18"/>
              </w:rPr>
              <w:t xml:space="preserve">1,09</w:t>
            </w:r>
          </w:p>
        </w:tc>
        <w:tc>
          <w:tcPr>
            <w:shd w:fill="F5F7FA" w:color="auto" w:val="clear"/>
            <w:tcMar>
              <w:top w:type="dxa" w:w="80"/>
              <w:left w:type="dxa" w:w="150"/>
              <w:bottom w:type="dxa" w:w="80"/>
              <w:right w:type="dxa" w:w="150"/>
            </w:tcMar>
          </w:tcPr>
          <w:p>
            <w:pPr>
              <w:jc w:val="center"/>
            </w:pPr>
            <w:r>
              <w:rPr>
                <w:color w:val="1A1A2E"/>
                <w:sz w:val="18"/>
                <w:szCs w:val="18"/>
              </w:rPr>
              <w:t xml:space="preserve">🔴 Risque</w:t>
            </w:r>
          </w:p>
        </w:tc>
        <w:tc>
          <w:tcPr>
            <w:shd w:fill="F5F7FA" w:color="auto" w:val="clear"/>
            <w:tcMar>
              <w:top w:type="dxa" w:w="80"/>
              <w:left w:type="dxa" w:w="150"/>
              <w:bottom w:type="dxa" w:w="80"/>
              <w:right w:type="dxa" w:w="150"/>
            </w:tcMar>
          </w:tcPr>
          <w:p>
            <w:pPr>
              <w:jc w:val="center"/>
            </w:pPr>
            <w:r>
              <w:rPr>
                <w:color w:val="1A1A2E"/>
                <w:sz w:val="18"/>
                <w:szCs w:val="18"/>
              </w:rPr>
              <w:t xml:space="preserve">Indépendant → revenus variables vs Permanent</w:t>
            </w:r>
          </w:p>
        </w:tc>
      </w:tr>
      <w:tr>
        <w:tc>
          <w:tcPr>
            <w:shd w:fill="FFFFFF" w:color="auto" w:val="clear"/>
            <w:tcMar>
              <w:top w:type="dxa" w:w="80"/>
              <w:left w:type="dxa" w:w="150"/>
              <w:bottom w:type="dxa" w:w="80"/>
              <w:right w:type="dxa" w:w="150"/>
            </w:tcMar>
          </w:tcPr>
          <w:p>
            <w:pPr>
              <w:jc w:val="center"/>
            </w:pPr>
            <w:r>
              <w:rPr>
                <w:color w:val="1A1A2E"/>
                <w:sz w:val="18"/>
                <w:szCs w:val="18"/>
              </w:rPr>
              <w:t xml:space="preserve">num_credit_lines</w:t>
            </w:r>
          </w:p>
        </w:tc>
        <w:tc>
          <w:tcPr>
            <w:shd w:fill="FFFFFF" w:color="auto" w:val="clear"/>
            <w:tcMar>
              <w:top w:type="dxa" w:w="80"/>
              <w:left w:type="dxa" w:w="150"/>
              <w:bottom w:type="dxa" w:w="80"/>
              <w:right w:type="dxa" w:w="150"/>
            </w:tcMar>
          </w:tcPr>
          <w:p>
            <w:pPr>
              <w:jc w:val="center"/>
            </w:pPr>
            <w:r>
              <w:rPr>
                <w:color w:val="1A1A2E"/>
                <w:sz w:val="18"/>
                <w:szCs w:val="18"/>
              </w:rPr>
              <w:t xml:space="preserve">-0,134</w:t>
            </w:r>
          </w:p>
        </w:tc>
        <w:tc>
          <w:tcPr>
            <w:shd w:fill="FFFFFF" w:color="auto" w:val="clear"/>
            <w:tcMar>
              <w:top w:type="dxa" w:w="80"/>
              <w:left w:type="dxa" w:w="150"/>
              <w:bottom w:type="dxa" w:w="80"/>
              <w:right w:type="dxa" w:w="150"/>
            </w:tcMar>
          </w:tcPr>
          <w:p>
            <w:pPr>
              <w:jc w:val="center"/>
            </w:pPr>
            <w:r>
              <w:rPr>
                <w:color w:val="1A1A2E"/>
                <w:sz w:val="18"/>
                <w:szCs w:val="18"/>
              </w:rPr>
              <w:t xml:space="preserve">0,87</w:t>
            </w:r>
          </w:p>
        </w:tc>
        <w:tc>
          <w:tcPr>
            <w:shd w:fill="FFFFFF" w:color="auto" w:val="clear"/>
            <w:tcMar>
              <w:top w:type="dxa" w:w="80"/>
              <w:left w:type="dxa" w:w="150"/>
              <w:bottom w:type="dxa" w:w="80"/>
              <w:right w:type="dxa" w:w="150"/>
            </w:tcMar>
          </w:tcPr>
          <w:p>
            <w:pPr>
              <w:jc w:val="center"/>
            </w:pPr>
            <w:r>
              <w:rPr>
                <w:color w:val="1A1A2E"/>
                <w:sz w:val="18"/>
                <w:szCs w:val="18"/>
              </w:rPr>
              <w:t xml:space="preserve">🟢 Protection</w:t>
            </w:r>
          </w:p>
        </w:tc>
        <w:tc>
          <w:tcPr>
            <w:shd w:fill="FFFFFF" w:color="auto" w:val="clear"/>
            <w:tcMar>
              <w:top w:type="dxa" w:w="80"/>
              <w:left w:type="dxa" w:w="150"/>
              <w:bottom w:type="dxa" w:w="80"/>
              <w:right w:type="dxa" w:w="150"/>
            </w:tcMar>
          </w:tcPr>
          <w:p>
            <w:pPr>
              <w:jc w:val="center"/>
            </w:pPr>
            <w:r>
              <w:rPr>
                <w:color w:val="1A1A2E"/>
                <w:sz w:val="18"/>
                <w:szCs w:val="18"/>
              </w:rPr>
              <w:t xml:space="preserve">Plus de lignes → historique plus riche, risque légèrement réduit</w:t>
            </w:r>
          </w:p>
        </w:tc>
      </w:tr>
      <w:tr>
        <w:tc>
          <w:tcPr>
            <w:shd w:fill="F5F7FA" w:color="auto" w:val="clear"/>
            <w:tcMar>
              <w:top w:type="dxa" w:w="80"/>
              <w:left w:type="dxa" w:w="150"/>
              <w:bottom w:type="dxa" w:w="80"/>
              <w:right w:type="dxa" w:w="150"/>
            </w:tcMar>
          </w:tcPr>
          <w:p>
            <w:pPr>
              <w:jc w:val="center"/>
            </w:pPr>
            <w:r>
              <w:rPr>
                <w:color w:val="1A1A2E"/>
                <w:sz w:val="18"/>
                <w:szCs w:val="18"/>
              </w:rPr>
              <w:t xml:space="preserve">employment_status_Student</w:t>
            </w:r>
          </w:p>
        </w:tc>
        <w:tc>
          <w:tcPr>
            <w:shd w:fill="F5F7FA" w:color="auto" w:val="clear"/>
            <w:tcMar>
              <w:top w:type="dxa" w:w="80"/>
              <w:left w:type="dxa" w:w="150"/>
              <w:bottom w:type="dxa" w:w="80"/>
              <w:right w:type="dxa" w:w="150"/>
            </w:tcMar>
          </w:tcPr>
          <w:p>
            <w:pPr>
              <w:jc w:val="center"/>
            </w:pPr>
            <w:r>
              <w:rPr>
                <w:color w:val="1A1A2E"/>
                <w:sz w:val="18"/>
                <w:szCs w:val="18"/>
              </w:rPr>
              <w:t xml:space="preserve">-0,156</w:t>
            </w:r>
          </w:p>
        </w:tc>
        <w:tc>
          <w:tcPr>
            <w:shd w:fill="F5F7FA" w:color="auto" w:val="clear"/>
            <w:tcMar>
              <w:top w:type="dxa" w:w="80"/>
              <w:left w:type="dxa" w:w="150"/>
              <w:bottom w:type="dxa" w:w="80"/>
              <w:right w:type="dxa" w:w="150"/>
            </w:tcMar>
          </w:tcPr>
          <w:p>
            <w:pPr>
              <w:jc w:val="center"/>
            </w:pPr>
            <w:r>
              <w:rPr>
                <w:color w:val="1A1A2E"/>
                <w:sz w:val="18"/>
                <w:szCs w:val="18"/>
              </w:rPr>
              <w:t xml:space="preserve">0,86</w:t>
            </w:r>
          </w:p>
        </w:tc>
        <w:tc>
          <w:tcPr>
            <w:shd w:fill="F5F7FA" w:color="auto" w:val="clear"/>
            <w:tcMar>
              <w:top w:type="dxa" w:w="80"/>
              <w:left w:type="dxa" w:w="150"/>
              <w:bottom w:type="dxa" w:w="80"/>
              <w:right w:type="dxa" w:w="150"/>
            </w:tcMar>
          </w:tcPr>
          <w:p>
            <w:pPr>
              <w:jc w:val="center"/>
            </w:pPr>
            <w:r>
              <w:rPr>
                <w:color w:val="1A1A2E"/>
                <w:sz w:val="18"/>
                <w:szCs w:val="18"/>
              </w:rPr>
              <w:t xml:space="preserve">🟢 Protection</w:t>
            </w:r>
          </w:p>
        </w:tc>
        <w:tc>
          <w:tcPr>
            <w:shd w:fill="F5F7FA" w:color="auto" w:val="clear"/>
            <w:tcMar>
              <w:top w:type="dxa" w:w="80"/>
              <w:left w:type="dxa" w:w="150"/>
              <w:bottom w:type="dxa" w:w="80"/>
              <w:right w:type="dxa" w:w="150"/>
            </w:tcMar>
          </w:tcPr>
          <w:p>
            <w:pPr>
              <w:jc w:val="center"/>
            </w:pPr>
            <w:r>
              <w:rPr>
                <w:color w:val="1A1A2E"/>
                <w:sz w:val="18"/>
                <w:szCs w:val="18"/>
              </w:rPr>
              <w:t xml:space="preserve">Étudiant : profil différent, souvent avec garants</w:t>
            </w:r>
          </w:p>
        </w:tc>
      </w:tr>
      <w:tr>
        <w:tc>
          <w:tcPr>
            <w:shd w:fill="FFFFFF" w:color="auto" w:val="clear"/>
            <w:tcMar>
              <w:top w:type="dxa" w:w="80"/>
              <w:left w:type="dxa" w:w="150"/>
              <w:bottom w:type="dxa" w:w="80"/>
              <w:right w:type="dxa" w:w="150"/>
            </w:tcMar>
          </w:tcPr>
          <w:p>
            <w:pPr>
              <w:jc w:val="center"/>
            </w:pPr>
            <w:r>
              <w:rPr>
                <w:color w:val="1A1A2E"/>
                <w:sz w:val="18"/>
                <w:szCs w:val="18"/>
              </w:rPr>
              <w:t xml:space="preserve">salary_domiciliation</w:t>
            </w:r>
          </w:p>
        </w:tc>
        <w:tc>
          <w:tcPr>
            <w:shd w:fill="FFFFFF" w:color="auto" w:val="clear"/>
            <w:tcMar>
              <w:top w:type="dxa" w:w="80"/>
              <w:left w:type="dxa" w:w="150"/>
              <w:bottom w:type="dxa" w:w="80"/>
              <w:right w:type="dxa" w:w="150"/>
            </w:tcMar>
          </w:tcPr>
          <w:p>
            <w:pPr>
              <w:jc w:val="center"/>
            </w:pPr>
            <w:r>
              <w:rPr>
                <w:color w:val="1A1A2E"/>
                <w:sz w:val="18"/>
                <w:szCs w:val="18"/>
              </w:rPr>
              <w:t xml:space="preserve">-0,278</w:t>
            </w:r>
          </w:p>
        </w:tc>
        <w:tc>
          <w:tcPr>
            <w:shd w:fill="FFFFFF" w:color="auto" w:val="clear"/>
            <w:tcMar>
              <w:top w:type="dxa" w:w="80"/>
              <w:left w:type="dxa" w:w="150"/>
              <w:bottom w:type="dxa" w:w="80"/>
              <w:right w:type="dxa" w:w="150"/>
            </w:tcMar>
          </w:tcPr>
          <w:p>
            <w:pPr>
              <w:jc w:val="center"/>
            </w:pPr>
            <w:r>
              <w:rPr>
                <w:color w:val="1A1A2E"/>
                <w:sz w:val="18"/>
                <w:szCs w:val="18"/>
              </w:rPr>
              <w:t xml:space="preserve">0,76</w:t>
            </w:r>
          </w:p>
        </w:tc>
        <w:tc>
          <w:tcPr>
            <w:shd w:fill="FFFFFF" w:color="auto" w:val="clear"/>
            <w:tcMar>
              <w:top w:type="dxa" w:w="80"/>
              <w:left w:type="dxa" w:w="150"/>
              <w:bottom w:type="dxa" w:w="80"/>
              <w:right w:type="dxa" w:w="150"/>
            </w:tcMar>
          </w:tcPr>
          <w:p>
            <w:pPr>
              <w:jc w:val="center"/>
            </w:pPr>
            <w:r>
              <w:rPr>
                <w:color w:val="1A1A2E"/>
                <w:sz w:val="18"/>
                <w:szCs w:val="18"/>
              </w:rPr>
              <w:t xml:space="preserve">🟢 Protection</w:t>
            </w:r>
          </w:p>
        </w:tc>
        <w:tc>
          <w:tcPr>
            <w:shd w:fill="FFFFFF" w:color="auto" w:val="clear"/>
            <w:tcMar>
              <w:top w:type="dxa" w:w="80"/>
              <w:left w:type="dxa" w:w="150"/>
              <w:bottom w:type="dxa" w:w="80"/>
              <w:right w:type="dxa" w:w="150"/>
            </w:tcMar>
          </w:tcPr>
          <w:p>
            <w:pPr>
              <w:jc w:val="center"/>
            </w:pPr>
            <w:r>
              <w:rPr>
                <w:color w:val="1A1A2E"/>
                <w:sz w:val="18"/>
                <w:szCs w:val="18"/>
              </w:rPr>
              <w:t xml:space="preserve">Domiciliation salaire → lien fort avec la banque, défaut moins probable</w:t>
            </w:r>
          </w:p>
        </w:tc>
      </w:tr>
      <w:tr>
        <w:tc>
          <w:tcPr>
            <w:shd w:fill="F5F7FA" w:color="auto" w:val="clear"/>
            <w:tcMar>
              <w:top w:type="dxa" w:w="80"/>
              <w:left w:type="dxa" w:w="150"/>
              <w:bottom w:type="dxa" w:w="80"/>
              <w:right w:type="dxa" w:w="150"/>
            </w:tcMar>
          </w:tcPr>
          <w:p>
            <w:pPr>
              <w:jc w:val="center"/>
            </w:pPr>
            <w:r>
              <w:rPr>
                <w:color w:val="1A1A2E"/>
                <w:sz w:val="18"/>
                <w:szCs w:val="18"/>
              </w:rPr>
              <w:t xml:space="preserve">monthly_income</w:t>
            </w:r>
          </w:p>
        </w:tc>
        <w:tc>
          <w:tcPr>
            <w:shd w:fill="F5F7FA" w:color="auto" w:val="clear"/>
            <w:tcMar>
              <w:top w:type="dxa" w:w="80"/>
              <w:left w:type="dxa" w:w="150"/>
              <w:bottom w:type="dxa" w:w="80"/>
              <w:right w:type="dxa" w:w="150"/>
            </w:tcMar>
          </w:tcPr>
          <w:p>
            <w:pPr>
              <w:jc w:val="center"/>
            </w:pPr>
            <w:r>
              <w:rPr>
                <w:color w:val="1A1A2E"/>
                <w:sz w:val="18"/>
                <w:szCs w:val="18"/>
              </w:rPr>
              <w:t xml:space="preserve">-0,502</w:t>
            </w:r>
          </w:p>
        </w:tc>
        <w:tc>
          <w:tcPr>
            <w:shd w:fill="F5F7FA" w:color="auto" w:val="clear"/>
            <w:tcMar>
              <w:top w:type="dxa" w:w="80"/>
              <w:left w:type="dxa" w:w="150"/>
              <w:bottom w:type="dxa" w:w="80"/>
              <w:right w:type="dxa" w:w="150"/>
            </w:tcMar>
          </w:tcPr>
          <w:p>
            <w:pPr>
              <w:jc w:val="center"/>
            </w:pPr>
            <w:r>
              <w:rPr>
                <w:color w:val="1A1A2E"/>
                <w:sz w:val="18"/>
                <w:szCs w:val="18"/>
              </w:rPr>
              <w:t xml:space="preserve">0,61</w:t>
            </w:r>
          </w:p>
        </w:tc>
        <w:tc>
          <w:tcPr>
            <w:shd w:fill="F5F7FA" w:color="auto" w:val="clear"/>
            <w:tcMar>
              <w:top w:type="dxa" w:w="80"/>
              <w:left w:type="dxa" w:w="150"/>
              <w:bottom w:type="dxa" w:w="80"/>
              <w:right w:type="dxa" w:w="150"/>
            </w:tcMar>
          </w:tcPr>
          <w:p>
            <w:pPr>
              <w:jc w:val="center"/>
            </w:pPr>
            <w:r>
              <w:rPr>
                <w:color w:val="1A1A2E"/>
                <w:sz w:val="18"/>
                <w:szCs w:val="18"/>
              </w:rPr>
              <w:t xml:space="preserve">🟢 Protection</w:t>
            </w:r>
          </w:p>
        </w:tc>
        <w:tc>
          <w:tcPr>
            <w:shd w:fill="F5F7FA" w:color="auto" w:val="clear"/>
            <w:tcMar>
              <w:top w:type="dxa" w:w="80"/>
              <w:left w:type="dxa" w:w="150"/>
              <w:bottom w:type="dxa" w:w="80"/>
              <w:right w:type="dxa" w:w="150"/>
            </w:tcMar>
          </w:tcPr>
          <w:p>
            <w:pPr>
              <w:jc w:val="center"/>
            </w:pPr>
            <w:r>
              <w:rPr>
                <w:color w:val="1A1A2E"/>
                <w:sz w:val="18"/>
                <w:szCs w:val="18"/>
              </w:rPr>
              <w:t xml:space="preserve">Revenu plus élevé → capacité de remboursement accrue</w:t>
            </w:r>
          </w:p>
        </w:tc>
      </w:tr>
      <w:tr>
        <w:tc>
          <w:tcPr>
            <w:shd w:fill="FFFFFF" w:color="auto" w:val="clear"/>
            <w:tcMar>
              <w:top w:type="dxa" w:w="80"/>
              <w:left w:type="dxa" w:w="150"/>
              <w:bottom w:type="dxa" w:w="80"/>
              <w:right w:type="dxa" w:w="150"/>
            </w:tcMar>
          </w:tcPr>
          <w:p>
            <w:pPr>
              <w:jc w:val="center"/>
            </w:pPr>
            <w:r>
              <w:rPr>
                <w:color w:val="1A1A2E"/>
                <w:sz w:val="18"/>
                <w:szCs w:val="18"/>
              </w:rPr>
              <w:t xml:space="preserve">bureau_score</w:t>
            </w:r>
          </w:p>
        </w:tc>
        <w:tc>
          <w:tcPr>
            <w:shd w:fill="FFFFFF" w:color="auto" w:val="clear"/>
            <w:tcMar>
              <w:top w:type="dxa" w:w="80"/>
              <w:left w:type="dxa" w:w="150"/>
              <w:bottom w:type="dxa" w:w="80"/>
              <w:right w:type="dxa" w:w="150"/>
            </w:tcMar>
          </w:tcPr>
          <w:p>
            <w:pPr>
              <w:jc w:val="center"/>
            </w:pPr>
            <w:r>
              <w:rPr>
                <w:color w:val="1A1A2E"/>
                <w:sz w:val="18"/>
                <w:szCs w:val="18"/>
              </w:rPr>
              <w:t xml:space="preserve">-0,847</w:t>
            </w:r>
          </w:p>
        </w:tc>
        <w:tc>
          <w:tcPr>
            <w:shd w:fill="FFFFFF" w:color="auto" w:val="clear"/>
            <w:tcMar>
              <w:top w:type="dxa" w:w="80"/>
              <w:left w:type="dxa" w:w="150"/>
              <w:bottom w:type="dxa" w:w="80"/>
              <w:right w:type="dxa" w:w="150"/>
            </w:tcMar>
          </w:tcPr>
          <w:p>
            <w:pPr>
              <w:jc w:val="center"/>
            </w:pPr>
            <w:r>
              <w:rPr>
                <w:color w:val="1A1A2E"/>
                <w:sz w:val="18"/>
                <w:szCs w:val="18"/>
              </w:rPr>
              <w:t xml:space="preserve">0,43</w:t>
            </w:r>
          </w:p>
        </w:tc>
        <w:tc>
          <w:tcPr>
            <w:shd w:fill="FFFFFF" w:color="auto" w:val="clear"/>
            <w:tcMar>
              <w:top w:type="dxa" w:w="80"/>
              <w:left w:type="dxa" w:w="150"/>
              <w:bottom w:type="dxa" w:w="80"/>
              <w:right w:type="dxa" w:w="150"/>
            </w:tcMar>
          </w:tcPr>
          <w:p>
            <w:pPr>
              <w:jc w:val="center"/>
            </w:pPr>
            <w:r>
              <w:rPr>
                <w:color w:val="1A1A2E"/>
                <w:sz w:val="18"/>
                <w:szCs w:val="18"/>
              </w:rPr>
              <w:t xml:space="preserve">🟢 Protection</w:t>
            </w:r>
          </w:p>
        </w:tc>
        <w:tc>
          <w:tcPr>
            <w:shd w:fill="FFFFFF" w:color="auto" w:val="clear"/>
            <w:tcMar>
              <w:top w:type="dxa" w:w="80"/>
              <w:left w:type="dxa" w:w="150"/>
              <w:bottom w:type="dxa" w:w="80"/>
              <w:right w:type="dxa" w:w="150"/>
            </w:tcMar>
          </w:tcPr>
          <w:p>
            <w:pPr>
              <w:jc w:val="center"/>
            </w:pPr>
            <w:r>
              <w:rPr>
                <w:color w:val="1A1A2E"/>
                <w:sz w:val="18"/>
                <w:szCs w:val="18"/>
              </w:rPr>
              <w:t xml:space="preserve">Meilleur score bureau → historique crédit sain, protection majeure</w:t>
            </w:r>
          </w:p>
        </w:tc>
      </w:tr>
    </w:tbl>
    <w:p>
      <w:pPr>
        <w:spacing w:after="200"/>
      </w:pPr>
    </w:p>
    <w:p>
      <w:pPr>
        <w:pBdr>
          <w:bottom w:val="single" w:color="CBD5E0" w:sz="2"/>
        </w:pBdr>
        <w:spacing w:after="150" w:before="300"/>
      </w:pPr>
      <w:r>
        <w:rPr>
          <w:b/>
          <w:bCs/>
          <w:color w:val="2E5B8C"/>
          <w:sz w:val="26"/>
          <w:szCs w:val="26"/>
        </w:rPr>
        <w:t xml:space="preserve">6.3 Lecture des Odds Ratios</w:t>
      </w:r>
    </w:p>
    <w:p>
      <w:pPr>
        <w:spacing w:after="100"/>
        <w:jc w:val="both"/>
      </w:pPr>
      <w:r>
        <w:rPr>
          <w:color w:val="1A1A2E"/>
          <w:sz w:val="20"/>
          <w:szCs w:val="20"/>
        </w:rPr>
        <w:t xml:space="preserve">L'Odds Ratio (OR) est la transformation exp(coefficient) qui permet une lecture économique directe :</w:t>
      </w:r>
    </w:p>
    <w:p>
      <w:pPr>
        <w:spacing w:after="60"/>
      </w:pPr>
    </w:p>
    <w:p>
      <w:pPr>
        <w:pStyle w:val="ListParagraph"/>
        <w:numPr>
          <w:ilvl w:val="0"/>
          <w:numId w:val="1"/>
        </w:numPr>
        <w:spacing w:after="80"/>
      </w:pPr>
      <w:r>
        <w:rPr>
          <w:b/>
          <w:bCs/>
          <w:color w:val="C0392B"/>
          <w:sz w:val="20"/>
          <w:szCs w:val="20"/>
        </w:rPr>
        <w:t xml:space="preserve">OR &gt; 1 → </w:t>
      </w:r>
      <w:r>
        <w:rPr>
          <w:b w:val="false"/>
          <w:bCs w:val="false"/>
          <w:color w:val="1A1A2E"/>
          <w:sz w:val="20"/>
          <w:szCs w:val="20"/>
        </w:rPr>
        <w:t xml:space="preserve">Facteur de RISQUE. Ex : OR = 2,44 pour max_dpd_12m → un client avec un DPD d'un écart-type de plus a 2,44 fois plus de chances d'être en défaut.</w:t>
      </w:r>
    </w:p>
    <w:p>
      <w:pPr>
        <w:pStyle w:val="ListParagraph"/>
        <w:numPr>
          <w:ilvl w:val="0"/>
          <w:numId w:val="1"/>
        </w:numPr>
        <w:spacing w:after="80"/>
      </w:pPr>
      <w:r>
        <w:rPr>
          <w:b/>
          <w:bCs/>
          <w:color w:val="27AE60"/>
          <w:sz w:val="20"/>
          <w:szCs w:val="20"/>
        </w:rPr>
        <w:t xml:space="preserve">OR &lt; 1 → </w:t>
      </w:r>
      <w:r>
        <w:rPr>
          <w:b w:val="false"/>
          <w:bCs w:val="false"/>
          <w:color w:val="1A1A2E"/>
          <w:sz w:val="20"/>
          <w:szCs w:val="20"/>
        </w:rPr>
        <w:t xml:space="preserve">Facteur PROTECTEUR. Ex : OR = 0,43 pour bureau_score → un meilleur score bureau réduit les chances de défaut de 57%.</w:t>
      </w:r>
    </w:p>
    <w:p>
      <w:pPr>
        <w:pStyle w:val="ListParagraph"/>
        <w:numPr>
          <w:ilvl w:val="0"/>
          <w:numId w:val="1"/>
        </w:numPr>
        <w:spacing w:after="80"/>
      </w:pPr>
      <w:r>
        <w:rPr>
          <w:b/>
          <w:bCs/>
          <w:color w:val="1A1A2E"/>
          <w:sz w:val="20"/>
          <w:szCs w:val="20"/>
        </w:rPr>
        <w:t xml:space="preserve">OR = 1 → </w:t>
      </w:r>
      <w:r>
        <w:rPr>
          <w:b w:val="false"/>
          <w:bCs w:val="false"/>
          <w:color w:val="1A1A2E"/>
          <w:sz w:val="20"/>
          <w:szCs w:val="20"/>
        </w:rPr>
        <w:t xml:space="preserve">Variable neutre, aucun impact sur la PD.</w:t>
      </w:r>
    </w:p>
    <w:p>
      <w:pPr>
        <w:spacing w:after="120"/>
      </w:pPr>
    </w:p>
    <w:p>
      <w:pPr>
        <w:pBdr>
          <w:bottom w:val="single" w:color="CBD5E0" w:sz="2"/>
        </w:pBdr>
        <w:spacing w:after="150" w:before="300"/>
      </w:pPr>
      <w:r>
        <w:rPr>
          <w:b/>
          <w:bCs/>
          <w:color w:val="2E5B8C"/>
          <w:sz w:val="26"/>
          <w:szCs w:val="26"/>
        </w:rPr>
        <w:t xml:space="preserve">6.4 Cohérence avec l'EDA</w:t>
      </w:r>
    </w:p>
    <w:p>
      <w:pPr>
        <w:spacing w:after="100"/>
        <w:jc w:val="both"/>
      </w:pPr>
      <w:r>
        <w:rPr>
          <w:color w:val="1A1A2E"/>
          <w:sz w:val="20"/>
          <w:szCs w:val="20"/>
        </w:rPr>
        <w:t xml:space="preserve">Les coefficients obtenus sont cohérents avec les corrélations identifiées lors de l'Analyse Exploratoire (Partie 1)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Variable</w:t>
            </w:r>
          </w:p>
        </w:tc>
        <w:tc>
          <w:tcPr>
            <w:shd w:fill="2E5B8C" w:color="auto" w:val="clear"/>
            <w:tcMar>
              <w:top w:type="dxa" w:w="100"/>
              <w:left w:type="dxa" w:w="150"/>
              <w:bottom w:type="dxa" w:w="100"/>
              <w:right w:type="dxa" w:w="150"/>
            </w:tcMar>
          </w:tcPr>
          <w:p>
            <w:pPr>
              <w:jc w:val="center"/>
            </w:pPr>
            <w:r>
              <w:rPr>
                <w:b/>
                <w:bCs/>
                <w:color w:val="FFFFFF"/>
                <w:sz w:val="18"/>
                <w:szCs w:val="18"/>
              </w:rPr>
              <w:t xml:space="preserve">Corrélation EDA</w:t>
            </w:r>
          </w:p>
        </w:tc>
        <w:tc>
          <w:tcPr>
            <w:shd w:fill="2E5B8C" w:color="auto" w:val="clear"/>
            <w:tcMar>
              <w:top w:type="dxa" w:w="100"/>
              <w:left w:type="dxa" w:w="150"/>
              <w:bottom w:type="dxa" w:w="100"/>
              <w:right w:type="dxa" w:w="150"/>
            </w:tcMar>
          </w:tcPr>
          <w:p>
            <w:pPr>
              <w:jc w:val="center"/>
            </w:pPr>
            <w:r>
              <w:rPr>
                <w:b/>
                <w:bCs/>
                <w:color w:val="FFFFFF"/>
                <w:sz w:val="18"/>
                <w:szCs w:val="18"/>
              </w:rPr>
              <w:t xml:space="preserve">Coefficient modèle</w:t>
            </w:r>
          </w:p>
        </w:tc>
        <w:tc>
          <w:tcPr>
            <w:shd w:fill="2E5B8C" w:color="auto" w:val="clear"/>
            <w:tcMar>
              <w:top w:type="dxa" w:w="100"/>
              <w:left w:type="dxa" w:w="150"/>
              <w:bottom w:type="dxa" w:w="100"/>
              <w:right w:type="dxa" w:w="150"/>
            </w:tcMar>
          </w:tcPr>
          <w:p>
            <w:pPr>
              <w:jc w:val="center"/>
            </w:pPr>
            <w:r>
              <w:rPr>
                <w:b/>
                <w:bCs/>
                <w:color w:val="FFFFFF"/>
                <w:sz w:val="18"/>
                <w:szCs w:val="18"/>
              </w:rPr>
              <w:t xml:space="preserve">Cohérence</w:t>
            </w:r>
          </w:p>
        </w:tc>
      </w:tr>
      <w:tr>
        <w:tc>
          <w:tcPr>
            <w:shd w:fill="FFFFFF" w:color="auto" w:val="clear"/>
            <w:tcMar>
              <w:top w:type="dxa" w:w="80"/>
              <w:left w:type="dxa" w:w="150"/>
              <w:bottom w:type="dxa" w:w="80"/>
              <w:right w:type="dxa" w:w="150"/>
            </w:tcMar>
          </w:tcPr>
          <w:p>
            <w:pPr>
              <w:jc w:val="center"/>
            </w:pPr>
            <w:r>
              <w:rPr>
                <w:color w:val="1A1A2E"/>
                <w:sz w:val="18"/>
                <w:szCs w:val="18"/>
              </w:rPr>
              <w:t xml:space="preserve">max_dpd_12m</w:t>
            </w:r>
          </w:p>
        </w:tc>
        <w:tc>
          <w:tcPr>
            <w:shd w:fill="FFFFFF" w:color="auto" w:val="clear"/>
            <w:tcMar>
              <w:top w:type="dxa" w:w="80"/>
              <w:left w:type="dxa" w:w="150"/>
              <w:bottom w:type="dxa" w:w="80"/>
              <w:right w:type="dxa" w:w="150"/>
            </w:tcMar>
          </w:tcPr>
          <w:p>
            <w:pPr>
              <w:jc w:val="center"/>
            </w:pPr>
            <w:r>
              <w:rPr>
                <w:color w:val="1A1A2E"/>
                <w:sz w:val="18"/>
                <w:szCs w:val="18"/>
              </w:rPr>
              <w:t xml:space="preserve">+0,412</w:t>
            </w:r>
          </w:p>
        </w:tc>
        <w:tc>
          <w:tcPr>
            <w:shd w:fill="FFFFFF" w:color="auto" w:val="clear"/>
            <w:tcMar>
              <w:top w:type="dxa" w:w="80"/>
              <w:left w:type="dxa" w:w="150"/>
              <w:bottom w:type="dxa" w:w="80"/>
              <w:right w:type="dxa" w:w="150"/>
            </w:tcMar>
          </w:tcPr>
          <w:p>
            <w:pPr>
              <w:jc w:val="center"/>
            </w:pPr>
            <w:r>
              <w:rPr>
                <w:color w:val="1A1A2E"/>
                <w:sz w:val="18"/>
                <w:szCs w:val="18"/>
              </w:rPr>
              <w:t xml:space="preserve">+0,892 (1er)</w:t>
            </w:r>
          </w:p>
        </w:tc>
        <w:tc>
          <w:tcPr>
            <w:shd w:fill="FFFFFF" w:color="auto" w:val="clear"/>
            <w:tcMar>
              <w:top w:type="dxa" w:w="80"/>
              <w:left w:type="dxa" w:w="150"/>
              <w:bottom w:type="dxa" w:w="80"/>
              <w:right w:type="dxa" w:w="150"/>
            </w:tcMar>
          </w:tcPr>
          <w:p>
            <w:pPr>
              <w:jc w:val="center"/>
            </w:pPr>
            <w:r>
              <w:rPr>
                <w:color w:val="1A1A2E"/>
                <w:sz w:val="18"/>
                <w:szCs w:val="18"/>
              </w:rPr>
              <w:t xml:space="preserve">✅ Oui — strongest predictor confirmé</w:t>
            </w:r>
          </w:p>
        </w:tc>
      </w:tr>
      <w:tr>
        <w:tc>
          <w:tcPr>
            <w:shd w:fill="F5F7FA" w:color="auto" w:val="clear"/>
            <w:tcMar>
              <w:top w:type="dxa" w:w="80"/>
              <w:left w:type="dxa" w:w="150"/>
              <w:bottom w:type="dxa" w:w="80"/>
              <w:right w:type="dxa" w:w="150"/>
            </w:tcMar>
          </w:tcPr>
          <w:p>
            <w:pPr>
              <w:jc w:val="center"/>
            </w:pPr>
            <w:r>
              <w:rPr>
                <w:color w:val="1A1A2E"/>
                <w:sz w:val="18"/>
                <w:szCs w:val="18"/>
              </w:rPr>
              <w:t xml:space="preserve">bureau_score</w:t>
            </w:r>
          </w:p>
        </w:tc>
        <w:tc>
          <w:tcPr>
            <w:shd w:fill="F5F7FA" w:color="auto" w:val="clear"/>
            <w:tcMar>
              <w:top w:type="dxa" w:w="80"/>
              <w:left w:type="dxa" w:w="150"/>
              <w:bottom w:type="dxa" w:w="80"/>
              <w:right w:type="dxa" w:w="150"/>
            </w:tcMar>
          </w:tcPr>
          <w:p>
            <w:pPr>
              <w:jc w:val="center"/>
            </w:pPr>
            <w:r>
              <w:rPr>
                <w:color w:val="1A1A2E"/>
                <w:sz w:val="18"/>
                <w:szCs w:val="18"/>
              </w:rPr>
              <w:t xml:space="preserve">-0,387</w:t>
            </w:r>
          </w:p>
        </w:tc>
        <w:tc>
          <w:tcPr>
            <w:shd w:fill="F5F7FA" w:color="auto" w:val="clear"/>
            <w:tcMar>
              <w:top w:type="dxa" w:w="80"/>
              <w:left w:type="dxa" w:w="150"/>
              <w:bottom w:type="dxa" w:w="80"/>
              <w:right w:type="dxa" w:w="150"/>
            </w:tcMar>
          </w:tcPr>
          <w:p>
            <w:pPr>
              <w:jc w:val="center"/>
            </w:pPr>
            <w:r>
              <w:rPr>
                <w:color w:val="1A1A2E"/>
                <w:sz w:val="18"/>
                <w:szCs w:val="18"/>
              </w:rPr>
              <w:t xml:space="preserve">-0,847 (1er protect.)</w:t>
            </w:r>
          </w:p>
        </w:tc>
        <w:tc>
          <w:tcPr>
            <w:shd w:fill="F5F7FA" w:color="auto" w:val="clear"/>
            <w:tcMar>
              <w:top w:type="dxa" w:w="80"/>
              <w:left w:type="dxa" w:w="150"/>
              <w:bottom w:type="dxa" w:w="80"/>
              <w:right w:type="dxa" w:w="150"/>
            </w:tcMar>
          </w:tcPr>
          <w:p>
            <w:pPr>
              <w:jc w:val="center"/>
            </w:pPr>
            <w:r>
              <w:rPr>
                <w:color w:val="1A1A2E"/>
                <w:sz w:val="18"/>
                <w:szCs w:val="18"/>
              </w:rPr>
              <w:t xml:space="preserve">✅ Oui — protection majeure confirmée</w:t>
            </w:r>
          </w:p>
        </w:tc>
      </w:tr>
      <w:tr>
        <w:tc>
          <w:tcPr>
            <w:shd w:fill="FFFFFF" w:color="auto" w:val="clear"/>
            <w:tcMar>
              <w:top w:type="dxa" w:w="80"/>
              <w:left w:type="dxa" w:w="150"/>
              <w:bottom w:type="dxa" w:w="80"/>
              <w:right w:type="dxa" w:w="150"/>
            </w:tcMar>
          </w:tcPr>
          <w:p>
            <w:pPr>
              <w:jc w:val="center"/>
            </w:pPr>
            <w:r>
              <w:rPr>
                <w:color w:val="1A1A2E"/>
                <w:sz w:val="18"/>
                <w:szCs w:val="18"/>
              </w:rPr>
              <w:t xml:space="preserve">utilization_rate</w:t>
            </w:r>
          </w:p>
        </w:tc>
        <w:tc>
          <w:tcPr>
            <w:shd w:fill="FFFFFF" w:color="auto" w:val="clear"/>
            <w:tcMar>
              <w:top w:type="dxa" w:w="80"/>
              <w:left w:type="dxa" w:w="150"/>
              <w:bottom w:type="dxa" w:w="80"/>
              <w:right w:type="dxa" w:w="150"/>
            </w:tcMar>
          </w:tcPr>
          <w:p>
            <w:pPr>
              <w:jc w:val="center"/>
            </w:pPr>
            <w:r>
              <w:rPr>
                <w:color w:val="1A1A2E"/>
                <w:sz w:val="18"/>
                <w:szCs w:val="18"/>
              </w:rPr>
              <w:t xml:space="preserve">+0,344</w:t>
            </w:r>
          </w:p>
        </w:tc>
        <w:tc>
          <w:tcPr>
            <w:shd w:fill="FFFFFF" w:color="auto" w:val="clear"/>
            <w:tcMar>
              <w:top w:type="dxa" w:w="80"/>
              <w:left w:type="dxa" w:w="150"/>
              <w:bottom w:type="dxa" w:w="80"/>
              <w:right w:type="dxa" w:w="150"/>
            </w:tcMar>
          </w:tcPr>
          <w:p>
            <w:pPr>
              <w:jc w:val="center"/>
            </w:pPr>
            <w:r>
              <w:rPr>
                <w:color w:val="1A1A2E"/>
                <w:sz w:val="18"/>
                <w:szCs w:val="18"/>
              </w:rPr>
              <w:t xml:space="preserve">+0,614 (2ème)</w:t>
            </w:r>
          </w:p>
        </w:tc>
        <w:tc>
          <w:tcPr>
            <w:shd w:fill="FFFFFF" w:color="auto" w:val="clear"/>
            <w:tcMar>
              <w:top w:type="dxa" w:w="80"/>
              <w:left w:type="dxa" w:w="150"/>
              <w:bottom w:type="dxa" w:w="80"/>
              <w:right w:type="dxa" w:w="150"/>
            </w:tcMar>
          </w:tcPr>
          <w:p>
            <w:pPr>
              <w:jc w:val="center"/>
            </w:pPr>
            <w:r>
              <w:rPr>
                <w:color w:val="1A1A2E"/>
                <w:sz w:val="18"/>
                <w:szCs w:val="18"/>
              </w:rPr>
              <w:t xml:space="preserve">✅ Oui</w:t>
            </w:r>
          </w:p>
        </w:tc>
      </w:tr>
      <w:tr>
        <w:tc>
          <w:tcPr>
            <w:shd w:fill="F5F7FA" w:color="auto" w:val="clear"/>
            <w:tcMar>
              <w:top w:type="dxa" w:w="80"/>
              <w:left w:type="dxa" w:w="150"/>
              <w:bottom w:type="dxa" w:w="80"/>
              <w:right w:type="dxa" w:w="150"/>
            </w:tcMar>
          </w:tcPr>
          <w:p>
            <w:pPr>
              <w:jc w:val="center"/>
            </w:pPr>
            <w:r>
              <w:rPr>
                <w:color w:val="1A1A2E"/>
                <w:sz w:val="18"/>
                <w:szCs w:val="18"/>
              </w:rPr>
              <w:t xml:space="preserve">missed_payments_3m</w:t>
            </w:r>
          </w:p>
        </w:tc>
        <w:tc>
          <w:tcPr>
            <w:shd w:fill="F5F7FA" w:color="auto" w:val="clear"/>
            <w:tcMar>
              <w:top w:type="dxa" w:w="80"/>
              <w:left w:type="dxa" w:w="150"/>
              <w:bottom w:type="dxa" w:w="80"/>
              <w:right w:type="dxa" w:w="150"/>
            </w:tcMar>
          </w:tcPr>
          <w:p>
            <w:pPr>
              <w:jc w:val="center"/>
            </w:pPr>
            <w:r>
              <w:rPr>
                <w:color w:val="1A1A2E"/>
                <w:sz w:val="18"/>
                <w:szCs w:val="18"/>
              </w:rPr>
              <w:t xml:space="preserve">+0,298</w:t>
            </w:r>
          </w:p>
        </w:tc>
        <w:tc>
          <w:tcPr>
            <w:shd w:fill="F5F7FA" w:color="auto" w:val="clear"/>
            <w:tcMar>
              <w:top w:type="dxa" w:w="80"/>
              <w:left w:type="dxa" w:w="150"/>
              <w:bottom w:type="dxa" w:w="80"/>
              <w:right w:type="dxa" w:w="150"/>
            </w:tcMar>
          </w:tcPr>
          <w:p>
            <w:pPr>
              <w:jc w:val="center"/>
            </w:pPr>
            <w:r>
              <w:rPr>
                <w:color w:val="1A1A2E"/>
                <w:sz w:val="18"/>
                <w:szCs w:val="18"/>
              </w:rPr>
              <w:t xml:space="preserve">+0,521 (3ème)</w:t>
            </w:r>
          </w:p>
        </w:tc>
        <w:tc>
          <w:tcPr>
            <w:shd w:fill="F5F7FA" w:color="auto" w:val="clear"/>
            <w:tcMar>
              <w:top w:type="dxa" w:w="80"/>
              <w:left w:type="dxa" w:w="150"/>
              <w:bottom w:type="dxa" w:w="80"/>
              <w:right w:type="dxa" w:w="150"/>
            </w:tcMar>
          </w:tcPr>
          <w:p>
            <w:pPr>
              <w:jc w:val="center"/>
            </w:pPr>
            <w:r>
              <w:rPr>
                <w:color w:val="1A1A2E"/>
                <w:sz w:val="18"/>
                <w:szCs w:val="18"/>
              </w:rPr>
              <w:t xml:space="preserve">✅ Oui</w:t>
            </w:r>
          </w:p>
        </w:tc>
      </w:tr>
      <w:tr>
        <w:tc>
          <w:tcPr>
            <w:shd w:fill="FFFFFF" w:color="auto" w:val="clear"/>
            <w:tcMar>
              <w:top w:type="dxa" w:w="80"/>
              <w:left w:type="dxa" w:w="150"/>
              <w:bottom w:type="dxa" w:w="80"/>
              <w:right w:type="dxa" w:w="150"/>
            </w:tcMar>
          </w:tcPr>
          <w:p>
            <w:pPr>
              <w:jc w:val="center"/>
            </w:pPr>
            <w:r>
              <w:rPr>
                <w:color w:val="1A1A2E"/>
                <w:sz w:val="18"/>
                <w:szCs w:val="18"/>
              </w:rPr>
              <w:t xml:space="preserve">monthly_income</w:t>
            </w:r>
          </w:p>
        </w:tc>
        <w:tc>
          <w:tcPr>
            <w:shd w:fill="FFFFFF" w:color="auto" w:val="clear"/>
            <w:tcMar>
              <w:top w:type="dxa" w:w="80"/>
              <w:left w:type="dxa" w:w="150"/>
              <w:bottom w:type="dxa" w:w="80"/>
              <w:right w:type="dxa" w:w="150"/>
            </w:tcMar>
          </w:tcPr>
          <w:p>
            <w:pPr>
              <w:jc w:val="center"/>
            </w:pPr>
            <w:r>
              <w:rPr>
                <w:color w:val="1A1A2E"/>
                <w:sz w:val="18"/>
                <w:szCs w:val="18"/>
              </w:rPr>
              <w:t xml:space="preserve">-0,261</w:t>
            </w:r>
          </w:p>
        </w:tc>
        <w:tc>
          <w:tcPr>
            <w:shd w:fill="FFFFFF" w:color="auto" w:val="clear"/>
            <w:tcMar>
              <w:top w:type="dxa" w:w="80"/>
              <w:left w:type="dxa" w:w="150"/>
              <w:bottom w:type="dxa" w:w="80"/>
              <w:right w:type="dxa" w:w="150"/>
            </w:tcMar>
          </w:tcPr>
          <w:p>
            <w:pPr>
              <w:jc w:val="center"/>
            </w:pPr>
            <w:r>
              <w:rPr>
                <w:color w:val="1A1A2E"/>
                <w:sz w:val="18"/>
                <w:szCs w:val="18"/>
              </w:rPr>
              <w:t xml:space="preserve">-0,502</w:t>
            </w:r>
          </w:p>
        </w:tc>
        <w:tc>
          <w:tcPr>
            <w:shd w:fill="FFFFFF" w:color="auto" w:val="clear"/>
            <w:tcMar>
              <w:top w:type="dxa" w:w="80"/>
              <w:left w:type="dxa" w:w="150"/>
              <w:bottom w:type="dxa" w:w="80"/>
              <w:right w:type="dxa" w:w="150"/>
            </w:tcMar>
          </w:tcPr>
          <w:p>
            <w:pPr>
              <w:jc w:val="center"/>
            </w:pPr>
            <w:r>
              <w:rPr>
                <w:color w:val="1A1A2E"/>
                <w:sz w:val="18"/>
                <w:szCs w:val="18"/>
              </w:rPr>
              <w:t xml:space="preserve">✅ Oui</w:t>
            </w:r>
          </w:p>
        </w:tc>
      </w:tr>
      <w:tr>
        <w:tc>
          <w:tcPr>
            <w:shd w:fill="F5F7FA" w:color="auto" w:val="clear"/>
            <w:tcMar>
              <w:top w:type="dxa" w:w="80"/>
              <w:left w:type="dxa" w:w="150"/>
              <w:bottom w:type="dxa" w:w="80"/>
              <w:right w:type="dxa" w:w="150"/>
            </w:tcMar>
          </w:tcPr>
          <w:p>
            <w:pPr>
              <w:jc w:val="center"/>
            </w:pPr>
            <w:r>
              <w:rPr>
                <w:color w:val="1A1A2E"/>
                <w:sz w:val="18"/>
                <w:szCs w:val="18"/>
              </w:rPr>
              <w:t xml:space="preserve">salary_domiciliation</w:t>
            </w:r>
          </w:p>
        </w:tc>
        <w:tc>
          <w:tcPr>
            <w:shd w:fill="F5F7FA" w:color="auto" w:val="clear"/>
            <w:tcMar>
              <w:top w:type="dxa" w:w="80"/>
              <w:left w:type="dxa" w:w="150"/>
              <w:bottom w:type="dxa" w:w="80"/>
              <w:right w:type="dxa" w:w="150"/>
            </w:tcMar>
          </w:tcPr>
          <w:p>
            <w:pPr>
              <w:jc w:val="center"/>
            </w:pPr>
            <w:r>
              <w:rPr>
                <w:color w:val="1A1A2E"/>
                <w:sz w:val="18"/>
                <w:szCs w:val="18"/>
              </w:rPr>
              <w:t xml:space="preserve">-0,187</w:t>
            </w:r>
          </w:p>
        </w:tc>
        <w:tc>
          <w:tcPr>
            <w:shd w:fill="F5F7FA" w:color="auto" w:val="clear"/>
            <w:tcMar>
              <w:top w:type="dxa" w:w="80"/>
              <w:left w:type="dxa" w:w="150"/>
              <w:bottom w:type="dxa" w:w="80"/>
              <w:right w:type="dxa" w:w="150"/>
            </w:tcMar>
          </w:tcPr>
          <w:p>
            <w:pPr>
              <w:jc w:val="center"/>
            </w:pPr>
            <w:r>
              <w:rPr>
                <w:color w:val="1A1A2E"/>
                <w:sz w:val="18"/>
                <w:szCs w:val="18"/>
              </w:rPr>
              <w:t xml:space="preserve">-0,278</w:t>
            </w:r>
          </w:p>
        </w:tc>
        <w:tc>
          <w:tcPr>
            <w:shd w:fill="F5F7FA" w:color="auto" w:val="clear"/>
            <w:tcMar>
              <w:top w:type="dxa" w:w="80"/>
              <w:left w:type="dxa" w:w="150"/>
              <w:bottom w:type="dxa" w:w="80"/>
              <w:right w:type="dxa" w:w="150"/>
            </w:tcMar>
          </w:tcPr>
          <w:p>
            <w:pPr>
              <w:jc w:val="center"/>
            </w:pPr>
            <w:r>
              <w:rPr>
                <w:color w:val="1A1A2E"/>
                <w:sz w:val="18"/>
                <w:szCs w:val="18"/>
              </w:rPr>
              <w:t xml:space="preserve">✅ Oui</w:t>
            </w:r>
          </w:p>
        </w:tc>
      </w:tr>
    </w:tbl>
    <w:p>
      <w:pPr>
        <w:spacing w:after="120"/>
      </w:pPr>
    </w:p>
    <w:p>
      <w:pPr>
        <w:spacing w:after="100"/>
        <w:jc w:val="both"/>
      </w:pPr>
      <w:r>
        <w:rPr>
          <w:color w:val="1A1A2E"/>
          <w:sz w:val="20"/>
          <w:szCs w:val="20"/>
        </w:rPr>
        <w:t xml:space="preserve">La cohérence entre l'EDA et les coefficients du modèle est un signal fort de validité : le modèle a appris les bonnes relations économiques, sans artefact statistique ou surapprentissage.</w:t>
      </w:r>
    </w:p>
    <w:p>
      <w:pPr>
        <w:spacing w:after="200"/>
      </w:pPr>
    </w:p>
    <w:p>
      <w:r>
        <w:br w:type="page"/>
      </w:r>
    </w:p>
    <w:p>
      <w:pPr>
        <w:pStyle w:val="Heading1"/>
        <w:pBdr>
          <w:bottom w:val="single" w:color="F0A500" w:sz="3" w:space="4"/>
        </w:pBdr>
        <w:spacing w:after="200" w:before="400"/>
        <w:rPr>
          <w:b/>
          <w:bCs/>
          <w:color w:val="2E5B8C"/>
          <w:sz w:val="32"/>
          <w:szCs w:val="32"/>
        </w:rPr>
      </w:pPr>
      <w:r>
        <w:t xml:space="preserve">7. Synthèse — Construction du Modèle</w:t>
      </w:r>
    </w:p>
    <w:p>
      <w:pPr>
        <w:pBdr>
          <w:bottom w:val="single" w:color="CBD5E0" w:sz="2"/>
        </w:pBdr>
        <w:spacing w:after="150" w:before="300"/>
      </w:pPr>
      <w:r>
        <w:rPr>
          <w:b/>
          <w:bCs/>
          <w:color w:val="2E5B8C"/>
          <w:sz w:val="26"/>
          <w:szCs w:val="26"/>
        </w:rPr>
        <w:t xml:space="preserve">7.1 Récapitulatif des choix méthodologiques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B8C" w:color="auto" w:val="clear"/>
            <w:tcMar>
              <w:top w:type="dxa" w:w="100"/>
              <w:left w:type="dxa" w:w="150"/>
              <w:bottom w:type="dxa" w:w="100"/>
              <w:right w:type="dxa" w:w="150"/>
            </w:tcMar>
          </w:tcPr>
          <w:p>
            <w:pPr>
              <w:jc w:val="center"/>
            </w:pPr>
            <w:r>
              <w:rPr>
                <w:b/>
                <w:bCs/>
                <w:color w:val="FFFFFF"/>
                <w:sz w:val="18"/>
                <w:szCs w:val="18"/>
              </w:rPr>
              <w:t xml:space="preserve">Décision</w:t>
            </w:r>
          </w:p>
        </w:tc>
        <w:tc>
          <w:tcPr>
            <w:shd w:fill="2E5B8C" w:color="auto" w:val="clear"/>
            <w:tcMar>
              <w:top w:type="dxa" w:w="100"/>
              <w:left w:type="dxa" w:w="150"/>
              <w:bottom w:type="dxa" w:w="100"/>
              <w:right w:type="dxa" w:w="150"/>
            </w:tcMar>
          </w:tcPr>
          <w:p>
            <w:pPr>
              <w:jc w:val="center"/>
            </w:pPr>
            <w:r>
              <w:rPr>
                <w:b/>
                <w:bCs/>
                <w:color w:val="FFFFFF"/>
                <w:sz w:val="18"/>
                <w:szCs w:val="18"/>
              </w:rPr>
              <w:t xml:space="preserve">Choix retenu</w:t>
            </w:r>
          </w:p>
        </w:tc>
        <w:tc>
          <w:tcPr>
            <w:shd w:fill="2E5B8C" w:color="auto" w:val="clear"/>
            <w:tcMar>
              <w:top w:type="dxa" w:w="100"/>
              <w:left w:type="dxa" w:w="150"/>
              <w:bottom w:type="dxa" w:w="100"/>
              <w:right w:type="dxa" w:w="150"/>
            </w:tcMar>
          </w:tcPr>
          <w:p>
            <w:pPr>
              <w:jc w:val="center"/>
            </w:pPr>
            <w:r>
              <w:rPr>
                <w:b/>
                <w:bCs/>
                <w:color w:val="FFFFFF"/>
                <w:sz w:val="18"/>
                <w:szCs w:val="18"/>
              </w:rPr>
              <w:t xml:space="preserve">Justification</w:t>
            </w:r>
          </w:p>
        </w:tc>
      </w:tr>
      <w:tr>
        <w:tc>
          <w:tcPr>
            <w:shd w:fill="FFFFFF" w:color="auto" w:val="clear"/>
            <w:tcMar>
              <w:top w:type="dxa" w:w="80"/>
              <w:left w:type="dxa" w:w="150"/>
              <w:bottom w:type="dxa" w:w="80"/>
              <w:right w:type="dxa" w:w="150"/>
            </w:tcMar>
          </w:tcPr>
          <w:p>
            <w:pPr>
              <w:jc w:val="center"/>
            </w:pPr>
            <w:r>
              <w:rPr>
                <w:color w:val="1A1A2E"/>
                <w:sz w:val="18"/>
                <w:szCs w:val="18"/>
              </w:rPr>
              <w:t xml:space="preserve">Algorithme</w:t>
            </w:r>
          </w:p>
        </w:tc>
        <w:tc>
          <w:tcPr>
            <w:shd w:fill="FFFFFF" w:color="auto" w:val="clear"/>
            <w:tcMar>
              <w:top w:type="dxa" w:w="80"/>
              <w:left w:type="dxa" w:w="150"/>
              <w:bottom w:type="dxa" w:w="80"/>
              <w:right w:type="dxa" w:w="150"/>
            </w:tcMar>
          </w:tcPr>
          <w:p>
            <w:pPr>
              <w:jc w:val="center"/>
            </w:pPr>
            <w:r>
              <w:rPr>
                <w:color w:val="1A1A2E"/>
                <w:sz w:val="18"/>
                <w:szCs w:val="18"/>
              </w:rPr>
              <w:t xml:space="preserve">Régression Logistique</w:t>
            </w:r>
          </w:p>
        </w:tc>
        <w:tc>
          <w:tcPr>
            <w:shd w:fill="FFFFFF" w:color="auto" w:val="clear"/>
            <w:tcMar>
              <w:top w:type="dxa" w:w="80"/>
              <w:left w:type="dxa" w:w="150"/>
              <w:bottom w:type="dxa" w:w="80"/>
              <w:right w:type="dxa" w:w="150"/>
            </w:tcMar>
          </w:tcPr>
          <w:p>
            <w:pPr>
              <w:jc w:val="center"/>
            </w:pPr>
            <w:r>
              <w:rPr>
                <w:color w:val="1A1A2E"/>
                <w:sz w:val="18"/>
                <w:szCs w:val="18"/>
              </w:rPr>
              <w:t xml:space="preserve">Standard Bâle II/III, interprétable, déployable</w:t>
            </w:r>
          </w:p>
        </w:tc>
      </w:tr>
      <w:tr>
        <w:tc>
          <w:tcPr>
            <w:shd w:fill="F5F7FA" w:color="auto" w:val="clear"/>
            <w:tcMar>
              <w:top w:type="dxa" w:w="80"/>
              <w:left w:type="dxa" w:w="150"/>
              <w:bottom w:type="dxa" w:w="80"/>
              <w:right w:type="dxa" w:w="150"/>
            </w:tcMar>
          </w:tcPr>
          <w:p>
            <w:pPr>
              <w:jc w:val="center"/>
            </w:pPr>
            <w:r>
              <w:rPr>
                <w:color w:val="1A1A2E"/>
                <w:sz w:val="18"/>
                <w:szCs w:val="18"/>
              </w:rPr>
              <w:t xml:space="preserve">Régularisation</w:t>
            </w:r>
          </w:p>
        </w:tc>
        <w:tc>
          <w:tcPr>
            <w:shd w:fill="F5F7FA" w:color="auto" w:val="clear"/>
            <w:tcMar>
              <w:top w:type="dxa" w:w="80"/>
              <w:left w:type="dxa" w:w="150"/>
              <w:bottom w:type="dxa" w:w="80"/>
              <w:right w:type="dxa" w:w="150"/>
            </w:tcMar>
          </w:tcPr>
          <w:p>
            <w:pPr>
              <w:jc w:val="center"/>
            </w:pPr>
            <w:r>
              <w:rPr>
                <w:color w:val="1A1A2E"/>
                <w:sz w:val="18"/>
                <w:szCs w:val="18"/>
              </w:rPr>
              <w:t xml:space="preserve">L2 (Ridge) avec C=1.0</w:t>
            </w:r>
          </w:p>
        </w:tc>
        <w:tc>
          <w:tcPr>
            <w:shd w:fill="F5F7FA" w:color="auto" w:val="clear"/>
            <w:tcMar>
              <w:top w:type="dxa" w:w="80"/>
              <w:left w:type="dxa" w:w="150"/>
              <w:bottom w:type="dxa" w:w="80"/>
              <w:right w:type="dxa" w:w="150"/>
            </w:tcMar>
          </w:tcPr>
          <w:p>
            <w:pPr>
              <w:jc w:val="center"/>
            </w:pPr>
            <w:r>
              <w:rPr>
                <w:color w:val="1A1A2E"/>
                <w:sz w:val="18"/>
                <w:szCs w:val="18"/>
              </w:rPr>
              <w:t xml:space="preserve">Prévention overfitting, paramètre standard</w:t>
            </w:r>
          </w:p>
        </w:tc>
      </w:tr>
      <w:tr>
        <w:tc>
          <w:tcPr>
            <w:shd w:fill="FFFFFF" w:color="auto" w:val="clear"/>
            <w:tcMar>
              <w:top w:type="dxa" w:w="80"/>
              <w:left w:type="dxa" w:w="150"/>
              <w:bottom w:type="dxa" w:w="80"/>
              <w:right w:type="dxa" w:w="150"/>
            </w:tcMar>
          </w:tcPr>
          <w:p>
            <w:pPr>
              <w:jc w:val="center"/>
            </w:pPr>
            <w:r>
              <w:rPr>
                <w:color w:val="1A1A2E"/>
                <w:sz w:val="18"/>
                <w:szCs w:val="18"/>
              </w:rPr>
              <w:t xml:space="preserve">Déséquilibre classes</w:t>
            </w:r>
          </w:p>
        </w:tc>
        <w:tc>
          <w:tcPr>
            <w:shd w:fill="FFFFFF" w:color="auto" w:val="clear"/>
            <w:tcMar>
              <w:top w:type="dxa" w:w="80"/>
              <w:left w:type="dxa" w:w="150"/>
              <w:bottom w:type="dxa" w:w="80"/>
              <w:right w:type="dxa" w:w="150"/>
            </w:tcMar>
          </w:tcPr>
          <w:p>
            <w:pPr>
              <w:jc w:val="center"/>
            </w:pPr>
            <w:r>
              <w:rPr>
                <w:color w:val="1A1A2E"/>
                <w:sz w:val="18"/>
                <w:szCs w:val="18"/>
              </w:rPr>
              <w:t xml:space="preserve">class_weight="balanced"</w:t>
            </w:r>
          </w:p>
        </w:tc>
        <w:tc>
          <w:tcPr>
            <w:shd w:fill="FFFFFF" w:color="auto" w:val="clear"/>
            <w:tcMar>
              <w:top w:type="dxa" w:w="80"/>
              <w:left w:type="dxa" w:w="150"/>
              <w:bottom w:type="dxa" w:w="80"/>
              <w:right w:type="dxa" w:w="150"/>
            </w:tcMar>
          </w:tcPr>
          <w:p>
            <w:pPr>
              <w:jc w:val="center"/>
            </w:pPr>
            <w:r>
              <w:rPr>
                <w:color w:val="1A1A2E"/>
                <w:sz w:val="18"/>
                <w:szCs w:val="18"/>
              </w:rPr>
              <w:t xml:space="preserve">Pas de SMOTE → données originales préservées</w:t>
            </w:r>
          </w:p>
        </w:tc>
      </w:tr>
      <w:tr>
        <w:tc>
          <w:tcPr>
            <w:shd w:fill="F5F7FA" w:color="auto" w:val="clear"/>
            <w:tcMar>
              <w:top w:type="dxa" w:w="80"/>
              <w:left w:type="dxa" w:w="150"/>
              <w:bottom w:type="dxa" w:w="80"/>
              <w:right w:type="dxa" w:w="150"/>
            </w:tcMar>
          </w:tcPr>
          <w:p>
            <w:pPr>
              <w:jc w:val="center"/>
            </w:pPr>
            <w:r>
              <w:rPr>
                <w:color w:val="1A1A2E"/>
                <w:sz w:val="18"/>
                <w:szCs w:val="18"/>
              </w:rPr>
              <w:t xml:space="preserve">Solver</w:t>
            </w:r>
          </w:p>
        </w:tc>
        <w:tc>
          <w:tcPr>
            <w:shd w:fill="F5F7FA" w:color="auto" w:val="clear"/>
            <w:tcMar>
              <w:top w:type="dxa" w:w="80"/>
              <w:left w:type="dxa" w:w="150"/>
              <w:bottom w:type="dxa" w:w="80"/>
              <w:right w:type="dxa" w:w="150"/>
            </w:tcMar>
          </w:tcPr>
          <w:p>
            <w:pPr>
              <w:jc w:val="center"/>
            </w:pPr>
            <w:r>
              <w:rPr>
                <w:color w:val="1A1A2E"/>
                <w:sz w:val="18"/>
                <w:szCs w:val="18"/>
              </w:rPr>
              <w:t xml:space="preserve">lbfgs</w:t>
            </w:r>
          </w:p>
        </w:tc>
        <w:tc>
          <w:tcPr>
            <w:shd w:fill="F5F7FA" w:color="auto" w:val="clear"/>
            <w:tcMar>
              <w:top w:type="dxa" w:w="80"/>
              <w:left w:type="dxa" w:w="150"/>
              <w:bottom w:type="dxa" w:w="80"/>
              <w:right w:type="dxa" w:w="150"/>
            </w:tcMar>
          </w:tcPr>
          <w:p>
            <w:pPr>
              <w:jc w:val="center"/>
            </w:pPr>
            <w:r>
              <w:rPr>
                <w:color w:val="1A1A2E"/>
                <w:sz w:val="18"/>
                <w:szCs w:val="18"/>
              </w:rPr>
              <w:t xml:space="preserve">Recommandé pour L2, convergence rapide</w:t>
            </w:r>
          </w:p>
        </w:tc>
      </w:tr>
      <w:tr>
        <w:tc>
          <w:tcPr>
            <w:shd w:fill="FFFFFF" w:color="auto" w:val="clear"/>
            <w:tcMar>
              <w:top w:type="dxa" w:w="80"/>
              <w:left w:type="dxa" w:w="150"/>
              <w:bottom w:type="dxa" w:w="80"/>
              <w:right w:type="dxa" w:w="150"/>
            </w:tcMar>
          </w:tcPr>
          <w:p>
            <w:pPr>
              <w:jc w:val="center"/>
            </w:pPr>
            <w:r>
              <w:rPr>
                <w:color w:val="1A1A2E"/>
                <w:sz w:val="18"/>
                <w:szCs w:val="18"/>
              </w:rPr>
              <w:t xml:space="preserve">Validation</w:t>
            </w:r>
          </w:p>
        </w:tc>
        <w:tc>
          <w:tcPr>
            <w:shd w:fill="FFFFFF" w:color="auto" w:val="clear"/>
            <w:tcMar>
              <w:top w:type="dxa" w:w="80"/>
              <w:left w:type="dxa" w:w="150"/>
              <w:bottom w:type="dxa" w:w="80"/>
              <w:right w:type="dxa" w:w="150"/>
            </w:tcMar>
          </w:tcPr>
          <w:p>
            <w:pPr>
              <w:jc w:val="center"/>
            </w:pPr>
            <w:r>
              <w:rPr>
                <w:color w:val="1A1A2E"/>
                <w:sz w:val="18"/>
                <w:szCs w:val="18"/>
              </w:rPr>
              <w:t xml:space="preserve">5-Fold Stratifiée</w:t>
            </w:r>
          </w:p>
        </w:tc>
        <w:tc>
          <w:tcPr>
            <w:shd w:fill="FFFFFF" w:color="auto" w:val="clear"/>
            <w:tcMar>
              <w:top w:type="dxa" w:w="80"/>
              <w:left w:type="dxa" w:w="150"/>
              <w:bottom w:type="dxa" w:w="80"/>
              <w:right w:type="dxa" w:w="150"/>
            </w:tcMar>
          </w:tcPr>
          <w:p>
            <w:pPr>
              <w:jc w:val="center"/>
            </w:pPr>
            <w:r>
              <w:rPr>
                <w:color w:val="1A1A2E"/>
                <w:sz w:val="18"/>
                <w:szCs w:val="18"/>
              </w:rPr>
              <w:t xml:space="preserve">Estimation non biaisée, préserve le taux de défaut</w:t>
            </w:r>
          </w:p>
        </w:tc>
      </w:tr>
      <w:tr>
        <w:tc>
          <w:tcPr>
            <w:shd w:fill="F5F7FA" w:color="auto" w:val="clear"/>
            <w:tcMar>
              <w:top w:type="dxa" w:w="80"/>
              <w:left w:type="dxa" w:w="150"/>
              <w:bottom w:type="dxa" w:w="80"/>
              <w:right w:type="dxa" w:w="150"/>
            </w:tcMar>
          </w:tcPr>
          <w:p>
            <w:pPr>
              <w:jc w:val="center"/>
            </w:pPr>
            <w:r>
              <w:rPr>
                <w:color w:val="1A1A2E"/>
                <w:sz w:val="18"/>
                <w:szCs w:val="18"/>
              </w:rPr>
              <w:t xml:space="preserve">Métriques</w:t>
            </w:r>
          </w:p>
        </w:tc>
        <w:tc>
          <w:tcPr>
            <w:shd w:fill="F5F7FA" w:color="auto" w:val="clear"/>
            <w:tcMar>
              <w:top w:type="dxa" w:w="80"/>
              <w:left w:type="dxa" w:w="150"/>
              <w:bottom w:type="dxa" w:w="80"/>
              <w:right w:type="dxa" w:w="150"/>
            </w:tcMar>
          </w:tcPr>
          <w:p>
            <w:pPr>
              <w:jc w:val="center"/>
            </w:pPr>
            <w:r>
              <w:rPr>
                <w:color w:val="1A1A2E"/>
                <w:sz w:val="18"/>
                <w:szCs w:val="18"/>
              </w:rPr>
              <w:t xml:space="preserve">AUC-ROC + F1-Score</w:t>
            </w:r>
          </w:p>
        </w:tc>
        <w:tc>
          <w:tcPr>
            <w:shd w:fill="F5F7FA" w:color="auto" w:val="clear"/>
            <w:tcMar>
              <w:top w:type="dxa" w:w="80"/>
              <w:left w:type="dxa" w:w="150"/>
              <w:bottom w:type="dxa" w:w="80"/>
              <w:right w:type="dxa" w:w="150"/>
            </w:tcMar>
          </w:tcPr>
          <w:p>
            <w:pPr>
              <w:jc w:val="center"/>
            </w:pPr>
            <w:r>
              <w:rPr>
                <w:color w:val="1A1A2E"/>
                <w:sz w:val="18"/>
                <w:szCs w:val="18"/>
              </w:rPr>
              <w:t xml:space="preserve">Insensibles au déséquilibre des classes</w:t>
            </w:r>
          </w:p>
        </w:tc>
      </w:tr>
    </w:tbl>
    <w:p>
      <w:pPr>
        <w:spacing w:after="120"/>
      </w:pPr>
    </w:p>
    <w:p>
      <w:pPr>
        <w:pBdr>
          <w:bottom w:val="single" w:color="CBD5E0" w:sz="2"/>
        </w:pBdr>
        <w:spacing w:after="150" w:before="300"/>
      </w:pPr>
      <w:r>
        <w:rPr>
          <w:b/>
          <w:bCs/>
          <w:color w:val="2E5B8C"/>
          <w:sz w:val="26"/>
          <w:szCs w:val="26"/>
        </w:rPr>
        <w:t xml:space="preserve">7.2 Performance du Modèle (Cross-Validation)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2E5B8C" w:sz="6"/>
              <w:left w:val="single" w:color="2E5B8C" w:sz="6"/>
              <w:bottom w:val="single" w:color="2E5B8C" w:sz="2"/>
              <w:right w:val="single" w:color="2E5B8C" w:sz="2"/>
            </w:tcBorders>
            <w:shd w:fill="EBF5FB" w:color="auto" w:val="clear"/>
            <w:tcMar>
              <w:top w:type="dxa" w:w="120"/>
              <w:left w:type="dxa" w:w="200"/>
              <w:bottom w:type="dxa" w:w="120"/>
              <w:right w:type="dxa" w:w="200"/>
            </w:tcMar>
          </w:tcPr>
          <w:p>
            <w:pPr>
              <w:spacing w:after="100"/>
            </w:pPr>
            <w:r>
              <w:rPr>
                <w:b/>
                <w:bCs/>
                <w:color w:val="2E5B8C"/>
                <w:sz w:val="20"/>
                <w:szCs w:val="20"/>
              </w:rPr>
              <w:t xml:space="preserve">Résultats Finaux — Validation Croisée 5-Fold</w:t>
            </w:r>
          </w:p>
          <w:p>
            <w:pPr>
              <w:spacing w:after="70"/>
            </w:pPr>
            <w:r>
              <w:rPr>
                <w:color w:val="1A1A2E"/>
                <w:sz w:val="19"/>
                <w:szCs w:val="19"/>
              </w:rPr>
              <w:t xml:space="preserve">  AUC-ROC  :  0,8542  ±  0,0066   →  Excellent pouvoir discriminant</w:t>
            </w:r>
          </w:p>
          <w:p>
            <w:pPr>
              <w:spacing w:after="70"/>
            </w:pPr>
            <w:r>
              <w:rPr>
                <w:color w:val="1A1A2E"/>
                <w:sz w:val="19"/>
                <w:szCs w:val="19"/>
              </w:rPr>
              <w:t xml:space="preserve">  F1-Score :  0,4997  ±  0,0112   →  Bon équilibre précision/rappel</w:t>
            </w:r>
          </w:p>
          <w:p>
            <w:pPr>
              <w:spacing w:after="70"/>
            </w:pPr>
            <w:r>
              <w:rPr>
                <w:color w:val="1A1A2E"/>
                <w:sz w:val="19"/>
                <w:szCs w:val="19"/>
              </w:rPr>
              <w:t xml:space="preserve"/>
            </w:r>
          </w:p>
          <w:p>
            <w:pPr>
              <w:spacing w:after="70"/>
            </w:pPr>
            <w:r>
              <w:rPr>
                <w:color w:val="1A1A2E"/>
                <w:sz w:val="19"/>
                <w:szCs w:val="19"/>
              </w:rPr>
              <w:t xml:space="preserve">  Conclusion : le modèle est STABLE, DISCRIMINANT, et prêt pour l'évaluation finale</w:t>
            </w:r>
          </w:p>
          <w:p>
            <w:pPr>
              <w:spacing w:after="70"/>
            </w:pPr>
            <w:r>
              <w:rPr>
                <w:color w:val="1A1A2E"/>
                <w:sz w:val="19"/>
                <w:szCs w:val="19"/>
              </w:rPr>
              <w:t xml:space="preserve">  sur le jeu de test (Partie 4 — Évaluation des performances).</w:t>
            </w:r>
          </w:p>
        </w:tc>
      </w:tr>
    </w:tbl>
    <w:p>
      <w:pPr>
        <w:spacing w:after="120"/>
      </w:pPr>
    </w:p>
    <w:p>
      <w:pPr>
        <w:pBdr>
          <w:bottom w:val="single" w:color="CBD5E0" w:sz="2"/>
        </w:pBdr>
        <w:spacing w:after="150" w:before="300"/>
      </w:pPr>
      <w:r>
        <w:rPr>
          <w:b/>
          <w:bCs/>
          <w:color w:val="2E5B8C"/>
          <w:sz w:val="26"/>
          <w:szCs w:val="26"/>
        </w:rPr>
        <w:t xml:space="preserve">7.3 Prochaine Étape</w:t>
      </w:r>
    </w:p>
    <w:p>
      <w:pPr>
        <w:spacing w:after="100"/>
        <w:jc w:val="both"/>
      </w:pPr>
      <w:r>
        <w:rPr>
          <w:color w:val="1A1A2E"/>
          <w:sz w:val="20"/>
          <w:szCs w:val="20"/>
        </w:rPr>
        <w:t xml:space="preserve">La construction du modèle est terminée. Les artefacts suivants ont été sauvegardés :</w:t>
      </w:r>
    </w:p>
    <w:p>
      <w:pPr>
        <w:pStyle w:val="ListParagraph"/>
        <w:numPr>
          <w:ilvl w:val="0"/>
          <w:numId w:val="1"/>
        </w:numPr>
        <w:spacing w:after="80"/>
        <w:jc w:val="both"/>
      </w:pPr>
      <w:r>
        <w:rPr>
          <w:color w:val="1A1A2E"/>
          <w:sz w:val="20"/>
          <w:szCs w:val="20"/>
        </w:rPr>
        <w:t xml:space="preserve">models/logistic_regression.pkl → modèle entraîné</w:t>
      </w:r>
    </w:p>
    <w:p>
      <w:pPr>
        <w:pStyle w:val="ListParagraph"/>
        <w:numPr>
          <w:ilvl w:val="0"/>
          <w:numId w:val="1"/>
        </w:numPr>
        <w:spacing w:after="80"/>
        <w:jc w:val="both"/>
      </w:pPr>
      <w:r>
        <w:rPr>
          <w:color w:val="1A1A2E"/>
          <w:sz w:val="20"/>
          <w:szCs w:val="20"/>
        </w:rPr>
        <w:t xml:space="preserve">models/train_test_data.pkl → X_train, X_test, y_train, y_test (13 features)</w:t>
      </w:r>
    </w:p>
    <w:p>
      <w:pPr>
        <w:spacing w:after="80"/>
      </w:pPr>
    </w:p>
    <w:p>
      <w:pPr>
        <w:spacing w:after="100"/>
        <w:jc w:val="both"/>
      </w:pPr>
      <w:r>
        <w:rPr>
          <w:color w:val="1A1A2E"/>
          <w:sz w:val="20"/>
          <w:szCs w:val="20"/>
        </w:rPr>
        <w:t xml:space="preserve">La Partie 4 consistera à évaluer le modèle sur le jeu de test (2 400 observations non vues) à travers :</w:t>
      </w:r>
    </w:p>
    <w:p>
      <w:pPr>
        <w:pStyle w:val="ListParagraph"/>
        <w:numPr>
          <w:ilvl w:val="0"/>
          <w:numId w:val="1"/>
        </w:numPr>
        <w:spacing w:after="80"/>
        <w:jc w:val="both"/>
      </w:pPr>
      <w:r>
        <w:rPr>
          <w:color w:val="1A1A2E"/>
          <w:sz w:val="20"/>
          <w:szCs w:val="20"/>
        </w:rPr>
        <w:t xml:space="preserve">Courbe ROC et calcul de l'AUC-ROC sur le test set</w:t>
      </w:r>
    </w:p>
    <w:p>
      <w:pPr>
        <w:pStyle w:val="ListParagraph"/>
        <w:numPr>
          <w:ilvl w:val="0"/>
          <w:numId w:val="1"/>
        </w:numPr>
        <w:spacing w:after="80"/>
        <w:jc w:val="both"/>
      </w:pPr>
      <w:r>
        <w:rPr>
          <w:color w:val="1A1A2E"/>
          <w:sz w:val="20"/>
          <w:szCs w:val="20"/>
        </w:rPr>
        <w:t xml:space="preserve">Coefficient Gini = 2×AUC - 1</w:t>
      </w:r>
    </w:p>
    <w:p>
      <w:pPr>
        <w:pStyle w:val="ListParagraph"/>
        <w:numPr>
          <w:ilvl w:val="0"/>
          <w:numId w:val="1"/>
        </w:numPr>
        <w:spacing w:after="80"/>
        <w:jc w:val="both"/>
      </w:pPr>
      <w:r>
        <w:rPr>
          <w:color w:val="1A1A2E"/>
          <w:sz w:val="20"/>
          <w:szCs w:val="20"/>
        </w:rPr>
        <w:t xml:space="preserve">Statistique KS (Kolmogorov-Smirnov)</w:t>
      </w:r>
    </w:p>
    <w:p>
      <w:pPr>
        <w:pStyle w:val="ListParagraph"/>
        <w:numPr>
          <w:ilvl w:val="0"/>
          <w:numId w:val="1"/>
        </w:numPr>
        <w:spacing w:after="80"/>
        <w:jc w:val="both"/>
      </w:pPr>
      <w:r>
        <w:rPr>
          <w:color w:val="1A1A2E"/>
          <w:sz w:val="20"/>
          <w:szCs w:val="20"/>
        </w:rPr>
        <w:t xml:space="preserve">Matrice de confusion et rapport de classification</w:t>
      </w:r>
    </w:p>
    <w:p>
      <w:pPr>
        <w:pStyle w:val="ListParagraph"/>
        <w:numPr>
          <w:ilvl w:val="0"/>
          <w:numId w:val="1"/>
        </w:numPr>
        <w:spacing w:after="80"/>
        <w:jc w:val="both"/>
      </w:pPr>
      <w:r>
        <w:rPr>
          <w:color w:val="1A1A2E"/>
          <w:sz w:val="20"/>
          <w:szCs w:val="20"/>
        </w:rPr>
        <w:t xml:space="preserve">Analyse du seuil de décision optimal</w:t>
      </w:r>
    </w:p>
    <w:p>
      <w:pPr>
        <w:spacing w:after="200"/>
      </w:pPr>
    </w:p>
    <w:p>
      <w:pPr>
        <w:spacing w:after="60" w:before="400"/>
        <w:jc w:val="center"/>
      </w:pPr>
      <w:r>
        <w:rPr>
          <w:color w:val="F0A500"/>
        </w:rPr>
        <w:t xml:space="preserve">─────────────────────────────────────────</w:t>
      </w:r>
    </w:p>
    <w:p>
      <w:pPr>
        <w:jc w:val="center"/>
      </w:pPr>
      <w:r>
        <w:rPr>
          <w:color w:val="CBD5E0"/>
          <w:sz w:val="16"/>
          <w:szCs w:val="16"/>
        </w:rPr>
        <w:t xml:space="preserve">Ernst &amp; Young — Document confidentiel — Usage interne uniquement</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2026-06-21T14:25:08.897Z</dcterms:created>
  <dcterms:modified xsi:type="dcterms:W3CDTF">2026-06-21T14:25:08.900Z</dcterms:modified>
</cp:coreProperties>
</file>

<file path=docProps/custom.xml><?xml version="1.0" encoding="utf-8"?>
<Properties xmlns="http://schemas.openxmlformats.org/officeDocument/2006/custom-properties" xmlns:vt="http://schemas.openxmlformats.org/officeDocument/2006/docPropsVTypes"/>
</file>