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F0A500"/>
          <w:sz w:val="20"/>
          <w:szCs w:val="20"/>
        </w:rPr>
        <w:t xml:space="preserve">ERNST &amp; YOUNG</w:t>
      </w:r>
    </w:p>
    <w:p>
      <w:pPr>
        <w:spacing w:after="500"/>
        <w:jc w:val="center"/>
      </w:pPr>
      <w:r>
        <w:rPr>
          <w:color w:val="CBD5E0"/>
          <w:sz w:val="18"/>
          <w:szCs w:val="18"/>
        </w:rPr>
        <w:t xml:space="preserve">Advisory | Risk &amp; Financial Services</w:t>
      </w:r>
    </w:p>
    <w:p>
      <w:pPr>
        <w:spacing w:after="160"/>
        <w:jc w:val="center"/>
      </w:pPr>
      <w:r>
        <w:rPr>
          <w:b/>
          <w:bCs/>
          <w:color w:val="2E5B8C"/>
          <w:sz w:val="44"/>
          <w:szCs w:val="44"/>
        </w:rPr>
        <w:t xml:space="preserve">Modele de Probabilite de Defaut</w:t>
      </w:r>
    </w:p>
    <w:p>
      <w:pPr>
        <w:spacing w:after="120"/>
        <w:jc w:val="center"/>
      </w:pPr>
      <w:r>
        <w:rPr>
          <w:color w:val="1A1A2E"/>
          <w:sz w:val="28"/>
          <w:szCs w:val="28"/>
        </w:rPr>
        <w:t xml:space="preserve">Segment Retail - Regression Logistique</w:t>
      </w:r>
    </w:p>
    <w:p>
      <w:pPr>
        <w:spacing w:after="600"/>
        <w:jc w:val="center"/>
      </w:pPr>
      <w:r>
        <w:rPr>
          <w:b/>
          <w:bCs/>
          <w:color w:val="F0A500"/>
          <w:sz w:val="32"/>
          <w:szCs w:val="32"/>
        </w:rPr>
        <w:t xml:space="preserve">Partie 4 - Evaluation des Performances</w:t>
      </w:r>
    </w:p>
    <w:p>
      <w:pPr>
        <w:spacing w:after="100"/>
        <w:jc w:val="center"/>
      </w:pPr>
      <w:r>
        <w:rPr>
          <w:color w:val="CBD5E0"/>
          <w:sz w:val="20"/>
          <w:szCs w:val="20"/>
        </w:rPr>
        <w:t xml:space="preserve">Stage EY - Juin 2026</w:t>
      </w:r>
    </w:p>
    <w:p>
      <w:pPr>
        <w:spacing w:after="800"/>
        <w:jc w:val="center"/>
      </w:pPr>
      <w:r>
        <w:rPr>
          <w:color w:val="CBD5E0"/>
          <w:sz w:val="18"/>
          <w:szCs w:val="18"/>
        </w:rPr>
        <w:t xml:space="preserve">Confidentiel - Usage interne uniquement</w:t>
      </w:r>
    </w:p>
    <w:p>
      <w:r>
        <w:br w:type="page"/>
      </w: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1. Introduction et Objectifs</w:t>
      </w:r>
    </w:p>
    <w:p>
      <w:pPr>
        <w:spacing w:after="100"/>
        <w:jc w:val="both"/>
      </w:pPr>
      <w:r>
        <w:rPr>
          <w:color w:val="1A1A2E"/>
          <w:sz w:val="20"/>
          <w:szCs w:val="20"/>
        </w:rPr>
        <w:t xml:space="preserve">Cette partie presente l'evaluation complete des performances du modele PD sur le jeu de test (2 400 observations non vues). C'est l'etape determinante : elle valide le modele pour la production dans le cadre reglementaire Bale II/III.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Mesurer le pouvoir discriminant du modele (capacite a separer defauts et non-defauts)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Verifier l'absence d'overfitting (coherence Train vs Test)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Analyser le compromis precision/rappel pour calibrer le seuil de decision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2E5B8C" w:sz="6"/>
              <w:left w:val="single" w:color="2E5B8C" w:sz="6"/>
              <w:bottom w:val="single" w:color="2E5B8C" w:sz="2"/>
              <w:right w:val="single" w:color="2E5B8C" w:sz="2"/>
            </w:tcBorders>
            <w:shd w:fill="EBF5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5B8C"/>
                <w:sz w:val="20"/>
                <w:szCs w:val="20"/>
              </w:rPr>
              <w:t xml:space="preserve">Rappel - Jeu de Test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Le jeu de test (2 400 obs.) a ete separe avant tout preprocessing.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Il n'a jamais ete utilise pour calculer les medianes, les seuils de capping,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fitter le StandardScaler, ni entrainer le modele.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Cette isolation garantit une evaluation non biaisee des performances reelles.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2. AUC-ROC et Coefficient Gini</w:t>
      </w: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2.1 Definitions</w:t>
      </w:r>
    </w:p>
    <w:p>
      <w:pPr>
        <w:spacing w:after="100"/>
        <w:jc w:val="both"/>
      </w:pPr>
      <w:r>
        <w:rPr>
          <w:color w:val="1A1A2E"/>
          <w:sz w:val="20"/>
          <w:szCs w:val="20"/>
        </w:rPr>
        <w:t xml:space="preserve">La courbe ROC trace le Taux de Vrais Positifs (sensibilite) en fonction du Taux de Faux Positifs pour tous les seuils de classification possibles.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TPR (Rappel)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Proportion de defauts reels detectes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TP / (TP + FN)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FPR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Proportion de non-defauts classes defaut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FP / (FP + TN)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AUC-ROC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Aire sous la courbe ROC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Integrale de TPR / FPR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Gini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Metrique bancaire standard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2 x AUC - 1</w:t>
            </w:r>
          </w:p>
        </w:tc>
      </w:tr>
    </w:tbl>
    <w:p>
      <w:pPr>
        <w:spacing w:after="12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2.2 Resultats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27AE60" w:sz="6"/>
              <w:left w:val="single" w:color="27AE60" w:sz="6"/>
              <w:bottom w:val="single" w:color="27AE60" w:sz="2"/>
              <w:right w:val="single" w:color="27AE60" w:sz="2"/>
            </w:tcBorders>
            <w:shd w:fill="EAFA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Resultats AUC-ROC - Jeu de Test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AUC-ROC Test  : 0.8625   -&gt; Excellent (seuil Bale : &gt; 0.75)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AUC-ROC Train : 0.8569   -&gt; Coherent avec le test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Ecart Tr/Te   : 0.0056   -&gt; Absence d'overfitting confirmee (&lt; 0.02)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Gini          : 0.7251   -&gt; Excellent (seuil banking : &gt; 0.60)</w:t>
            </w:r>
          </w:p>
        </w:tc>
      </w:tr>
    </w:tbl>
    <w:p>
      <w:pPr>
        <w:spacing w:after="12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2.3 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5B8C"/>
          <w:sz w:val="20"/>
          <w:szCs w:val="20"/>
        </w:rPr>
        <w:t xml:space="preserve">AUC-ROC = 0,8625 : </w:t>
      </w:r>
      <w:r>
        <w:rPr>
          <w:b w:val="false"/>
          <w:bCs w:val="false"/>
          <w:color w:val="1A1A2E"/>
          <w:sz w:val="20"/>
          <w:szCs w:val="20"/>
        </w:rPr>
        <w:t xml:space="preserve">le modele classe correctement 86,25% des paires (defaut, non-defaut). Pour 100 couples tires aleatoirement, le modele attribue un score plus eleve au defaut dans 86 cas sur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5B8C"/>
          <w:sz w:val="20"/>
          <w:szCs w:val="20"/>
        </w:rPr>
        <w:t xml:space="preserve">Gini = 0,7251 : </w:t>
      </w:r>
      <w:r>
        <w:rPr>
          <w:b w:val="false"/>
          <w:bCs w:val="false"/>
          <w:color w:val="1A1A2E"/>
          <w:sz w:val="20"/>
          <w:szCs w:val="20"/>
        </w:rPr>
        <w:t xml:space="preserve">metrique de reference des regulateurs bancaires (IRBA). Un Gini &gt; 0,70 est exceptionnel pour un scoring retail.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7AE60"/>
          <w:sz w:val="20"/>
          <w:szCs w:val="20"/>
        </w:rPr>
        <w:t xml:space="preserve">Ecart Train/Test = 0,0056 : </w:t>
      </w:r>
      <w:r>
        <w:rPr>
          <w:b w:val="false"/>
          <w:bCs w:val="false"/>
          <w:color w:val="1A1A2E"/>
          <w:sz w:val="20"/>
          <w:szCs w:val="20"/>
        </w:rPr>
        <w:t xml:space="preserve">quasi nul - la regularisation L2 (C=1.0) a efficacement prevenu l'overfitting.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3. Statistique KS (Kolmogorov-Smirnov)</w:t>
      </w: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3.1 Definition</w:t>
      </w:r>
    </w:p>
    <w:p>
      <w:pPr>
        <w:spacing w:after="100"/>
        <w:jc w:val="both"/>
      </w:pPr>
      <w:r>
        <w:rPr>
          <w:color w:val="1A1A2E"/>
          <w:sz w:val="20"/>
          <w:szCs w:val="20"/>
        </w:rPr>
        <w:t xml:space="preserve">La statistique KS mesure la distance maximale entre les fonctions de distribution cumulative des scores PD pour les defauts et les non-defauts. Elle identifie le seuil optimal de separation des deux populations.</w:t>
      </w:r>
    </w:p>
    <w:p>
      <w:pPr>
        <w:spacing w:after="8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3.2 Resultats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27AE60" w:sz="6"/>
              <w:left w:val="single" w:color="27AE60" w:sz="6"/>
              <w:bottom w:val="single" w:color="27AE60" w:sz="2"/>
              <w:right w:val="single" w:color="27AE60" w:sz="2"/>
            </w:tcBorders>
            <w:shd w:fill="EAFA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Resultats KS - Jeu de Test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KS Statistic  : 0.5775   -&gt; Excellent (seuil banking : &gt; 0.30, excellent &gt; 0.45)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Seuil optimal : 0.47     -&gt; Au-dessus de ce seuil -&gt; alerte defaut</w:t>
            </w:r>
          </w:p>
        </w:tc>
      </w:tr>
    </w:tbl>
    <w:p>
      <w:pPr>
        <w:spacing w:after="12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3.3 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KS = 0,5775 : au seuil de 0,47, l'ecart entre les deux distributions cumulatives est de 57,75 points de pourcentage.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57,75% des defauts reels ont un score PD &gt; 0,47 (bien detectes)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0"/>
          <w:szCs w:val="20"/>
        </w:rPr>
        <w:t xml:space="preserve">Seulement ~19% des non-defauts ont un score PD &gt; 0,47 (peu de fausses alarmes a ce seuil)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KS Statistic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&lt; 0.20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Sans pouvoir discriminant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Insuffisant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0.20 - 0.30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Faible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0.30 - 0.45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Bon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Bon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0.45 - 0.60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Tres bon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&gt; 0.60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Exceptionnel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Exceptionnel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Notre modele : 0.5775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-&gt; Excellent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4. Matrice de Confusion</w:t>
      </w: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4.1 Resultats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Predit : Non-defaut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Predit : Defaut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Reel : Non-defaut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TN = 1 685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FP = 394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Reel : Defaut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FN = 80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TP = 241</w:t>
            </w:r>
          </w:p>
        </w:tc>
      </w:tr>
    </w:tbl>
    <w:p>
      <w:pPr>
        <w:spacing w:after="12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4.2 Analyse Detaillee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Cout metier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TN (Vrais Negatifs)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1 685 (70,2%)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Non-defauts approuves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Revenue du portefeuille sain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TP (Vrais Positifs)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241 (10,0%)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Defauts bloques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Pertes evitees - capital preserve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FP (Faux Positifs)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394 (16,4%)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Bons clients refuses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Cout d'opportunite (revenus manques)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FN (Faux Negatifs)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80 (3,3%)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Defauts non detectes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Perte en capital - risque majeur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2"/>
              <w:right w:val="single" w:color="E67E22" w:sz="2"/>
            </w:tcBorders>
            <w:shd w:fill="FEF9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Arbitrage FP vs FN en credit scoring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Un Faux Negatif (defaut manque) est beaucoup plus couteux qu'un Faux Positif (bon client refuse).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Notre modele avec class_weight=balanced et rappel = 75% reflète cet arbitrage :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- Il accepte un taux de FP eleve (394) pour minimiser les FN (seulement 80).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- 3 defauts sur 4 sont bloques -&gt; protection significative du portefeuille.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- Ce compromis est ajustable en modifiant le seuil de classification.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5. Metriques de Classification</w:t>
      </w: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5.1 Tableau Complet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Metrique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Precision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0.3795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TP / (TP + FP)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38% des alertes sont de vrais defauts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Rappel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0.7508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TP / (TP + FN)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75% des defauts reels detectes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Specificite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0.8105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TN / (TN + FP)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81% des bons clients approuves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F1-Score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0.5042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2xPxR / (P+R)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Equilibre precision/rappel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Accuracy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0.8025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(TP+TN)/Total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Non pertinente (classes desequilibrees)</w:t>
            </w:r>
          </w:p>
        </w:tc>
      </w:tr>
    </w:tbl>
    <w:p>
      <w:pPr>
        <w:spacing w:after="12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5.2 Interpretation Economique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5B8C"/>
          <w:sz w:val="20"/>
          <w:szCs w:val="20"/>
        </w:rPr>
        <w:t xml:space="preserve">Rappel = 75% : </w:t>
      </w:r>
      <w:r>
        <w:rPr>
          <w:b w:val="false"/>
          <w:bCs w:val="false"/>
          <w:color w:val="1A1A2E"/>
          <w:sz w:val="20"/>
          <w:szCs w:val="20"/>
        </w:rPr>
        <w:t xml:space="preserve">241 defauts detectes sur 321 - protection significative contre les pertes en capital. C'est la metrique la plus importante en credit.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5B8C"/>
          <w:sz w:val="20"/>
          <w:szCs w:val="20"/>
        </w:rPr>
        <w:t xml:space="preserve">Precision = 38% : </w:t>
      </w:r>
      <w:r>
        <w:rPr>
          <w:b w:val="false"/>
          <w:bCs w:val="false"/>
          <w:color w:val="1A1A2E"/>
          <w:sz w:val="20"/>
          <w:szCs w:val="20"/>
        </w:rPr>
        <w:t xml:space="preserve">normale avec un taux de defaut de 13%. Pour 100 alertes, 38 sont de vrais defauts. Acceptable : le cout d'un refus injustifie est inferieur a celui d'un defaut accorde.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5B8C"/>
          <w:sz w:val="20"/>
          <w:szCs w:val="20"/>
        </w:rPr>
        <w:t xml:space="preserve">Specificite = 81% : </w:t>
      </w:r>
      <w:r>
        <w:rPr>
          <w:b w:val="false"/>
          <w:bCs w:val="false"/>
          <w:color w:val="1A1A2E"/>
          <w:sz w:val="20"/>
          <w:szCs w:val="20"/>
        </w:rPr>
        <w:t xml:space="preserve">81% des bons clients sont correctement approuves - le modele n'est pas excessivement conservateur.</w:t>
      </w:r>
    </w:p>
    <w:p>
      <w:pPr>
        <w:spacing w:after="200"/>
      </w:pP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6. Distribution des Scores PD</w:t>
      </w:r>
    </w:p>
    <w:p>
      <w:pPr>
        <w:spacing w:after="100"/>
        <w:jc w:val="both"/>
      </w:pPr>
      <w:r>
        <w:rPr>
          <w:color w:val="1A1A2E"/>
          <w:sz w:val="20"/>
          <w:szCs w:val="20"/>
        </w:rPr>
        <w:t xml:space="preserve">L'analyse de la distribution des scores PD pour les defauts et non-defauts est le test visuel le plus intuitif du pouvoir discriminant du modele.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PD moyen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PD median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Non-defauts (D=0)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~0.18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~0.12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Concentres vers 0 - profils sains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Defauts (D=1)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~0.65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~0.68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Decales vers 1 - profils risques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7AE60"/>
          <w:sz w:val="20"/>
          <w:szCs w:val="20"/>
        </w:rPr>
        <w:t xml:space="preserve">Separation nette : </w:t>
      </w:r>
      <w:r>
        <w:rPr>
          <w:b w:val="false"/>
          <w:bCs w:val="false"/>
          <w:color w:val="1A1A2E"/>
          <w:sz w:val="20"/>
          <w:szCs w:val="20"/>
        </w:rPr>
        <w:t xml:space="preserve">les deux distributions sont clairement decalees. Un non-defaillant recoit ~0,18 en moyenne, contre ~0,65 pour un defaillant.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5B8C"/>
          <w:sz w:val="20"/>
          <w:szCs w:val="20"/>
        </w:rPr>
        <w:t xml:space="preserve">Seuil de decision a 0,47 : </w:t>
      </w:r>
      <w:r>
        <w:rPr>
          <w:b w:val="false"/>
          <w:bCs w:val="false"/>
          <w:color w:val="1A1A2E"/>
          <w:sz w:val="20"/>
          <w:szCs w:val="20"/>
        </w:rPr>
        <w:t xml:space="preserve">tout client avec score PD &gt; 0,47 declenche une revue de dossier ou un refus en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E67E22"/>
          <w:sz w:val="20"/>
          <w:szCs w:val="20"/>
        </w:rPr>
        <w:t xml:space="preserve">Chevauchement residuel (0,30 - 0,60) : </w:t>
      </w:r>
      <w:r>
        <w:rPr>
          <w:b w:val="false"/>
          <w:bCs w:val="false"/>
          <w:color w:val="1A1A2E"/>
          <w:sz w:val="20"/>
          <w:szCs w:val="20"/>
        </w:rPr>
        <w:t xml:space="preserve">zone d'ambiguite ou le modele hesite. Ces cas peuvent necessiter une revue manuelle par un analyste.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0A500" w:sz="3" w:space="4"/>
        </w:pBdr>
        <w:spacing w:after="200" w:before="400"/>
      </w:pPr>
      <w:r>
        <w:rPr>
          <w:b/>
          <w:bCs/>
          <w:color w:val="2E5B8C"/>
          <w:sz w:val="32"/>
          <w:szCs w:val="32"/>
        </w:rPr>
        <w:t xml:space="preserve">7. Synthese Finale</w:t>
      </w: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7.1 Tableau de Bord des Performances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Metrique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Seuil Bale/Banking</w:t>
            </w:r>
          </w:p>
        </w:tc>
        <w:tc>
          <w:tcPr>
            <w:shd w:fill="2E5B8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AUC-ROC (Test)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0.8625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&gt; 0.75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AUC-ROC (Train)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0.8569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&gt; 0.75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Ecart Train/Test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0.0056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&lt; 0.02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Pas d'overfitting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Gini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0.7251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&gt; 0.50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KS Statistic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0.5775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&gt; 0.30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F1-Score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0.5042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&gt; 0.45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Bon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Rappel (Defauts)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75.08%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Maximiser</w:t>
            </w:r>
          </w:p>
        </w:tc>
        <w:tc>
          <w:tcPr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Bon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Specificite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81.05%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Maximiser</w:t>
            </w:r>
          </w:p>
        </w:tc>
        <w:tc>
          <w:tcPr>
            <w:shd w:fill="F5F7FA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1A1A2E"/>
                <w:sz w:val="18"/>
                <w:szCs w:val="18"/>
              </w:rPr>
              <w:t xml:space="preserve">Bon</w:t>
            </w:r>
          </w:p>
        </w:tc>
      </w:tr>
    </w:tbl>
    <w:p>
      <w:pPr>
        <w:spacing w:after="120"/>
      </w:pPr>
    </w:p>
    <w:p>
      <w:pPr>
        <w:pBdr>
          <w:bottom w:val="single" w:color="CBD5E0" w:sz="1"/>
        </w:pBdr>
        <w:spacing w:after="150" w:before="300"/>
      </w:pPr>
      <w:r>
        <w:rPr>
          <w:b/>
          <w:bCs/>
          <w:color w:val="2E5B8C"/>
          <w:sz w:val="26"/>
          <w:szCs w:val="26"/>
        </w:rPr>
        <w:t xml:space="preserve">7.2 Conclusion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27AE60" w:sz="6"/>
              <w:left w:val="single" w:color="27AE60" w:sz="6"/>
              <w:bottom w:val="single" w:color="27AE60" w:sz="2"/>
              <w:right w:val="single" w:color="27AE60" w:sz="2"/>
            </w:tcBorders>
            <w:shd w:fill="EAFA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MODELE VALIDE - Pret pour la mise en production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Le modele PD retail presente des performances excellentes sur tous les criteres Bale II/III :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AUC = 0.8625, Gini = 0.7251, KS = 0.5775 -&gt; au-dessus de tous les benchmarks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Ecart Train/Test = 0.0056 -&gt; absence d'overfitting confirme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Rappel de 75% -&gt; 3 defauts sur 4 bloques en production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Recommandations pour la mise en production :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1. Definir le seuil operationnel selon l'appetit au risque de l'institution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2. Implementer un monitoring mensuel des distributions (Population Stability Index)</w:t>
            </w:r>
          </w:p>
          <w:p>
            <w:pPr>
              <w:spacing w:after="70"/>
            </w:pPr>
            <w:r>
              <w:rPr>
                <w:color w:val="1A1A2E"/>
                <w:sz w:val="19"/>
                <w:szCs w:val="19"/>
              </w:rPr>
              <w:t xml:space="preserve">  3. Prevoir une revision annuelle du modele (recalibration ou reconstruction)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color w:val="CBD5E0"/>
          <w:sz w:val="16"/>
          <w:szCs w:val="16"/>
        </w:rPr>
        <w:t xml:space="preserve">Ernst &amp; Young - Document confidentiel - Usage interne uniquement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2026-06-21T14:42:00.868Z</dcterms:created>
  <dcterms:modified xsi:type="dcterms:W3CDTF">2026-06-21T14:42:00.869Z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