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con D-20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il perimetro degli aggregati cancellabili. Ha un'impronta crittografica ed è ciò che viene approvato. Comprende gli anni di retention, il modo di ancoraggio, le strategie attive, i parametri della strategia degli abbandoni e il tetto per aggregato: l'elenco esatto è nel §9.2.</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tcMar>
              <w:top w:type="dxa" w:w="70"/>
              <w:left w:type="dxa" w:w="110"/>
              <w:bottom w:type="dxa" w:w="70"/>
              <w:right w:type="dxa" w:w="110"/>
            </w:tcMar>
          </w:tcPr>
          <w:p>
            <w:pPr>
              <w:spacing w:after="0" w:line="250"/>
            </w:pPr>
            <w:r>
              <w:rPr>
                <w:b w:val="false"/>
                <w:bCs w:val="false"/>
                <w:sz w:val="19"/>
                <w:szCs w:val="19"/>
              </w:rPr>
              <w:t xml:space="preserve">Non accede al database: deterministico e privo di I/O</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Style w:val="Heading3"/>
        <w:spacing w:after="100" w:before="200"/>
      </w:pPr>
      <w:r>
        <w:rPr>
          <w:b/>
          <w:bCs/>
          <w:color w:val="2E4570"/>
          <w:sz w:val="22"/>
          <w:szCs w:val="22"/>
        </w:rPr>
        <w:t xml:space="preserve">Il censimento degli stati non riconosciuti</w:t>
      </w:r>
    </w:p>
    <w:p>
      <w:pPr>
        <w:spacing w:after="140" w:line="276"/>
      </w:pPr>
      <w:r>
        <w:rPr>
          <w:sz w:val="21"/>
          <w:szCs w:val="21"/>
        </w:rPr>
        <w:t xml:space="preserve">Le validazioni fermano il run. Accanto a loro il report della simulazione porta un censimento che non ferma nulla: gli stati presenti sugli ordini che non figurano fra i cinque riconosciuti come terminali, con quanti ordini oltre soglia li portano e da quando.</w:t>
      </w:r>
    </w:p>
    <w:p>
      <w:pPr>
        <w:spacing w:after="140" w:line="276"/>
      </w:pPr>
      <w:r>
        <w:rPr>
          <w:sz w:val="21"/>
          <w:szCs w:val="21"/>
        </w:rPr>
        <w:t xml:space="preserve">Non è un controllo, ed è deliberato: se uno stato nuovo sia conclusivo lo sa il dominio, non il purge, e bloccare l'esecuzione perché ne è comparso uno sarebbe sbagliato quanto ignorarlo. Ma senza quella riga la domanda non verrebbe posta da nessuno, e quegli ordini resterebbero a database per sempre mentre il purge continua a girare verde. È l'unico modo in cui lo schema applicativo può derivare in silenzio: una tabella nuova fa fallire una cancellazione, una colonna rimossa fa fallire una query, uno stato nuovo non produce niente (D-15).</w:t>
      </w:r>
    </w:p>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della slice — tipicamente un collettivo grande, o un ordine con centinaia di revisioni — diventa una slice a sé. Si accetta consapevolmente un picco di lock, perché l'alternativa sarebbe spezzare l'aggregato.</w:t>
      </w:r>
    </w:p>
    <w:p>
      <w:pPr>
        <w:pStyle w:val="ListParagraph"/>
        <w:numPr>
          <w:ilvl w:val="0"/>
          <w:numId w:val="2"/>
        </w:numPr>
        <w:spacing w:after="90" w:line="276"/>
      </w:pPr>
      <w:r>
        <w:rPr>
          <w:sz w:val="21"/>
          <w:szCs w:val="21"/>
        </w:rPr>
        <w:t xml:space="preserve">Aggregati oltre il secondo tetto: sopra un limite molto più alto l'aggregato non entra in alcuna slice. Viene escluso, censito con il motivo e resta a database.</w:t>
      </w:r>
    </w:p>
    <w:p>
      <w:pPr>
        <w:pStyle w:val="Heading3"/>
        <w:spacing w:after="100" w:before="200"/>
      </w:pPr>
      <w:r>
        <w:rPr>
          <w:b/>
          <w:bCs/>
          <w:color w:val="2E4570"/>
          <w:sz w:val="22"/>
          <w:szCs w:val="22"/>
        </w:rPr>
        <w:t xml:space="preserve">Perché i tetti sono due</w:t>
      </w:r>
    </w:p>
    <w:p>
      <w:pPr>
        <w:spacing w:after="140" w:line="276"/>
      </w:pPr>
      <w:r>
        <w:rPr>
          <w:sz w:val="21"/>
          <w:szCs w:val="21"/>
        </w:rPr>
        <w:t xml:space="preserve">«Si accetta un picco di lock» è vero fino a un certo peso e falso oltre. Un collettivo da duecento componenti con molte revisioni può valere centomila righe: cancellarlo in una sola transazione innesca la lock escalation e gonfia il log, cioè esattamente ciò che questo capitolo esiste per evitare. Il primo tetto dimensiona la slice; il secondo dice fino a dove il picco è accettabile.</w:t>
      </w:r>
    </w:p>
    <w:p>
      <w:pPr>
        <w:spacing w:after="140" w:line="276"/>
      </w:pPr>
      <w:r>
        <w:rPr>
          <w:sz w:val="21"/>
          <w:szCs w:val="21"/>
        </w:rPr>
        <w:t xml:space="preserve">Sopra il secondo tetto l'aggregato viene messo da parte con un motivo, compare nel report e resta a database finché qualcuno decide come trattarlo (D-17). Spezzarlo sarebbe l'alternativa: per un collettivo è escluso dall'atomicità, per un ordine singolo richiederebbe un meccanismo nuovo con una propria atomicità da dimostrare, per un caso che dovrebbe essere raro. Escludere e censire costa niente e rende il caso misurabile; se il censimento mostrasse che è frequente, allora varrebbe la pena costruire lo spezzamento.</w:t>
      </w:r>
    </w:p>
    <w:p>
      <w:pPr>
        <w:pStyle w:val="Heading2"/>
        <w:spacing w:after="120" w:before="260"/>
      </w:pPr>
      <w:r>
        <w:rPr>
          <w:b/>
          <w:bCs/>
          <w:color w:val="1F3864"/>
          <w:sz w:val="24"/>
          <w:szCs w:val="24"/>
        </w:rPr>
        <w:t xml:space="preserve">6.3 Il packer è deterministico e privo di I/O</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A parità di sequenza in ingresso produce sempre lo stesso risultato.</w:t>
      </w:r>
    </w:p>
    <w:p>
      <w:pPr>
        <w:spacing w:after="140" w:line="276"/>
      </w:pPr>
      <w:r>
        <w:rPr>
          <w:sz w:val="21"/>
          <w:szCs w:val="21"/>
        </w:rPr>
        <w:t xml:space="preserve">Non è però una funzione pura: è un accumulatore, e mantiene lo stato del batch in costruzione — quanto pesa, quanti aggregati contiene, se un collettivo è a metà. Serve perché i componenti di uno stesso collettivo arrivano su chiamate successive e devono finire nella stessa slice. La distinzione conta per chi legge il codice aspettandosi una funzione senza stato; ciò che conta architetturalmente è l'assenza di I/O, non l'assenza di stato.</w:t>
      </w:r>
    </w:p>
    <w:p>
      <w:pPr>
        <w:spacing w:after="140" w:line="276"/>
      </w:pPr>
      <w:r>
        <w:rPr>
          <w:sz w:val="21"/>
          <w:szCs w:val="21"/>
        </w:rPr>
        <w:t xml:space="preserve">È questo che rende la composizione verificabile in modo esaustivo con test in memoria, senza database, ed è il motivo per cui i casi limite — aggregato sovradimensionato, aggregato oltre il tetto, collettivo a cavallo di due slice, ordine senza peso —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pPr>
        <w:pStyle w:val="Heading3"/>
        <w:spacing w:after="100" w:before="200"/>
      </w:pPr>
      <w:r>
        <w:rPr>
          <w:b/>
          <w:bCs/>
          <w:color w:val="2E4570"/>
          <w:sz w:val="22"/>
          <w:szCs w:val="22"/>
        </w:rPr>
        <w:t xml:space="preserve">Il fuso della finestra è dichiarato, non ereditato</w:t>
      </w:r>
    </w:p>
    <w:p>
      <w:pPr>
        <w:spacing w:after="140" w:line="276"/>
      </w:pPr>
      <w:r>
        <w:rPr>
          <w:sz w:val="21"/>
          <w:szCs w:val="21"/>
        </w:rPr>
        <w:t xml:space="preserve">«Dall'una alle cinque» non significa nulla senza un fuso. L'orario si legge in quello indicato in configurazione (</w:t>
      </w:r>
      <w:r>
        <w:rPr>
          <w:rFonts w:ascii="Consolas" w:cs="Consolas" w:eastAsia="Consolas" w:hAnsi="Consolas"/>
          <w:color w:val="20304A"/>
          <w:sz w:val="21"/>
          <w:szCs w:val="21"/>
        </w:rPr>
        <w:t xml:space="preserve">TimeZoneId</w:t>
      </w:r>
      <w:r>
        <w:rPr>
          <w:sz w:val="21"/>
          <w:szCs w:val="21"/>
        </w:rPr>
        <w:t xml:space="preserve">), non in quello dell'host: in un container il fuso locale è quasi sempre UTC, e la finestra diventerebbe 02:00–06:00 italiane d'inverno e 03:00–07:00 d'estate — tutte le notti, senza errori e senza avvisi. Il fuso in uso viene scritto nel log all'avvio, così una configurazione sbagliata si vede alla prima riga invece che dai grafici di carico.</w:t>
      </w:r>
    </w:p>
    <w:p>
      <w:pPr>
        <w:spacing w:after="140" w:line="276"/>
      </w:pPr>
      <w:r>
        <w:rPr>
          <w:sz w:val="21"/>
          <w:szCs w:val="21"/>
        </w:rPr>
        <w:t xml:space="preserve">La scadenza si calcola inoltre costruendo l'istante di chiusura, non sottraendo due orari. Sembra un dettaglio e non lo è: il timer che ne deriva misura tempo reale, mentre la differenza fra due orari misura orologio, e nelle due notti di cambio ora le due cose divergono di sessanta minuti. Nella notte di primavera la scadenza risultava un'ora più generosa, e una fase lunga poteva proseguire fino alle sei del mattino (D-16).</w:t>
      </w:r>
    </w:p>
    <w:p>
      <w:pPr>
        <w:spacing w:after="140" w:line="276"/>
      </w:pPr>
      <w:r>
        <w:rPr>
          <w:sz w:val="21"/>
          <w:szCs w:val="21"/>
        </w:rPr>
        <w:t xml:space="preserve">Il fuso non è facoltativo quando si cancella davvero: un'esecuzione reale con la finestra attiva e nessun fuso dichiarato viene rifiutata all'avvio. Senza quel valore la finestra è definita dal fuso della macchina, che non è una decisione presa da nessuno — e affidarsi alla disciplina operativa per un parametro che decide quando si cancella in produzione è una garanzia più debole di un controllo (D-20). La simulazione resta permissiva: serve a produrre il report, e non tocca nulla.</w:t>
      </w:r>
    </w:p>
    <w:p>
      <w:pPr>
        <w:pBdr>
          <w:left w:val="single" w:color="8FA3C0" w:sz="18" w:space="12"/>
        </w:pBdr>
        <w:spacing w:after="180" w:before="60" w:line="276"/>
        <w:ind w:left="360"/>
      </w:pPr>
      <w:r>
        <w:rPr>
          <w:color w:val="44506B"/>
          <w:sz w:val="20"/>
          <w:szCs w:val="20"/>
        </w:rPr>
        <w:t xml:space="preserve">I due casi patologici sono gestiti esplicitamente. Se l'orario di chiusura non esiste in quella data — il salto di primavera — si prende il primo istante valido successivo. Se esiste due volte — il ritorno all'ora solare — si prende il primo: chiudere in anticipo costa un'ora di lavoro non fatto, chiudere in ritardo porta il purge nell'orario lavorativo.</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l'insieme dei parametri che determinano il perimetro, elencati nel §9.2 — ha un'impronta crittografica. Prima di ogni esecuzione reale il motore verifica che quell'impronta sia stata approvata e registrata sul database. Cambiare uno di quei parametri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p>
            <w:pPr>
              <w:spacing w:after="0" w:line="250"/>
            </w:pPr>
            <w:r>
              <w:rPr>
                <w:b w:val="false"/>
                <w:bCs w:val="false"/>
                <w:sz w:val="19"/>
                <w:szCs w:val="19"/>
              </w:rPr>
              <w:t xml:space="preserve">MaxAggregateWeight — il tetto oltre il quale un aggregato non viene cancellato</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WindowGrace, TimeZoneId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spacing w:after="140" w:line="276"/>
      </w:pPr>
      <w:r>
        <w:rPr>
          <w:sz w:val="21"/>
          <w:szCs w:val="21"/>
        </w:rPr>
        <w:t xml:space="preserve">Il criterio non è l'importanza del parametro, ed è per questo che il tetto per aggregato sta a sinistra mentre la dimensione delle slice sta a destra, benché si assomiglino. La dimensione delle slice cambia in quante transazioni si divide il lavoro: l'insieme cancellato resta identico. Il tetto per aggregato decide se un aggregato viene cancellato o resta a database, e quindi appartiene al perimetro.</w:t>
      </w:r>
    </w:p>
    <w:p>
      <w:pPr>
        <w:pBdr>
          <w:left w:val="single" w:color="8FA3C0" w:sz="18" w:space="12"/>
        </w:pBdr>
        <w:spacing w:after="180" w:before="60" w:line="276"/>
        <w:ind w:left="360"/>
      </w:pPr>
      <w:r>
        <w:rPr>
          <w:color w:val="44506B"/>
          <w:sz w:val="20"/>
          <w:szCs w:val="20"/>
        </w:rPr>
        <w:t xml:space="preserve">Il caso concreto: si approva una simulazione con il tetto a 30 000 righe, e il report mostra un collettivo da 80 000 fra gli aggregati esclusi. Chi approva sta approvando anche quell'esclusione. Se il tetto venisse poi alzato a 100 000 senza che l'impronta cambi, quell'aggregato diventerebbe cancellabile con un'approvazione che nessuno ha dato per lui — esattamente ciò che il gate esiste per impedire.</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0" w:line="240"/>
        <w:ind w:left="360"/>
      </w:pPr>
      <w:r>
        <w:rPr>
          <w:rFonts w:ascii="Consolas" w:cs="Consolas" w:eastAsia="Consolas" w:hAnsi="Consolas"/>
          <w:color w:val="20304A"/>
          <w:sz w:val="18"/>
          <w:szCs w:val="18"/>
        </w:rPr>
        <w:t xml:space="preserve">Strategie=[Terminated, StandingOrders, Collective, OrphanHistory],</w:t>
      </w:r>
    </w:p>
    <w:p>
      <w:pPr>
        <w:shd w:fill="F2F4F7" w:val="clear"/>
        <w:spacing w:after="160" w:line="240"/>
        <w:ind w:left="360"/>
      </w:pPr>
      <w:r>
        <w:rPr>
          <w:rFonts w:ascii="Consolas" w:cs="Consolas" w:eastAsia="Consolas" w:hAnsi="Consolas"/>
          <w:color w:val="20304A"/>
          <w:sz w:val="18"/>
          <w:szCs w:val="18"/>
        </w:rPr>
        <w:t xml:space="preserve">TettoAggregato=30.000 righe</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 L'unico modo di rinunciare al limite è chiederlo esplicitamente con --no-window, che viene registrato nel log.</w:t>
      </w:r>
    </w:p>
    <w:p>
      <w:pPr>
        <w:spacing w:after="140" w:line="276"/>
      </w:pPr>
      <w:r>
        <w:rPr>
          <w:sz w:val="21"/>
          <w:szCs w:val="21"/>
        </w:rPr>
        <w:t xml:space="preserve">In modalità servizio il fuso dichiarato governa anche la pianificazione interna, non solo la finestra. I due erano rimasti disallineati fino a poco fa: su un host in UTC il servizio si sarebbe svegliato due ore dopo l'apertura della finestra, perdendo due ore di lavoro ogni notte senza che nulla lo segnalasse.</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Terminated --dry-run</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OrphanHistory --delete</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indicato subito dopo </w:t>
      </w:r>
      <w:r>
        <w:rPr>
          <w:rFonts w:ascii="Consolas" w:cs="Consolas" w:eastAsia="Consolas" w:hAnsi="Consolas"/>
          <w:color w:val="20304A"/>
          <w:sz w:val="21"/>
          <w:szCs w:val="21"/>
        </w:rPr>
        <w:t xml:space="preserve">once</w:t>
      </w:r>
      <w:r>
        <w:rPr>
          <w:sz w:val="21"/>
          <w:szCs w:val="21"/>
        </w:rPr>
        <w:t xml:space="preserve"> e prima della modalità: viene letto dal secondo argomento.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OrphanHistory --dry-run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OrphanHistory --delete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D-15</w:t>
            </w:r>
          </w:p>
        </w:tc>
        <w:tc>
          <w:tcPr>
            <w:tcW w:type="dxa" w:w="3100"/>
            <w:tcMar>
              <w:top w:type="dxa" w:w="70"/>
              <w:left w:type="dxa" w:w="110"/>
              <w:bottom w:type="dxa" w:w="70"/>
              <w:right w:type="dxa" w:w="110"/>
            </w:tcMar>
          </w:tcPr>
          <w:p>
            <w:pPr>
              <w:spacing w:after="0" w:line="250"/>
            </w:pPr>
            <w:r>
              <w:rPr>
                <w:b w:val="false"/>
                <w:bCs w:val="false"/>
                <w:sz w:val="19"/>
                <w:szCs w:val="19"/>
              </w:rPr>
              <w:t xml:space="preserve">Deriva dello schema rilevata all'avvio</w:t>
            </w:r>
          </w:p>
        </w:tc>
        <w:tc>
          <w:tcPr>
            <w:tcW w:type="dxa" w:w="5600"/>
            <w:tcMar>
              <w:top w:type="dxa" w:w="70"/>
              <w:left w:type="dxa" w:w="110"/>
              <w:bottom w:type="dxa" w:w="70"/>
              <w:right w:type="dxa" w:w="110"/>
            </w:tcMar>
          </w:tcPr>
          <w:p>
            <w:pPr>
              <w:spacing w:after="0" w:line="250"/>
            </w:pPr>
            <w:r>
              <w:rPr>
                <w:b w:val="false"/>
                <w:bCs w:val="false"/>
                <w:sz w:val="19"/>
                <w:szCs w:val="19"/>
              </w:rPr>
              <w:t xml:space="preserve">Solo la verifica manuale: una tabella nuova legata a Order si sarebbe manifestata di notte, come aggregati abbandonati uno per uno.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Finestra in un fuso dichiarato, scadenza come istante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Fuso dell'host e differenza fra orari: in un container il fuso è UTC, e nella notte di primavera la scadenza concedeva un'ora in più.</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D-17</w:t>
            </w:r>
          </w:p>
        </w:tc>
        <w:tc>
          <w:tcPr>
            <w:tcW w:type="dxa" w:w="3100"/>
            <w:tcMar>
              <w:top w:type="dxa" w:w="70"/>
              <w:left w:type="dxa" w:w="110"/>
              <w:bottom w:type="dxa" w:w="70"/>
              <w:right w:type="dxa" w:w="110"/>
            </w:tcMar>
          </w:tcPr>
          <w:p>
            <w:pPr>
              <w:spacing w:after="0" w:line="250"/>
            </w:pPr>
            <w:r>
              <w:rPr>
                <w:b w:val="false"/>
                <w:bCs w:val="false"/>
                <w:sz w:val="19"/>
                <w:szCs w:val="19"/>
              </w:rPr>
              <w:t xml:space="preserve">Tetto al peso del singolo aggregato</w:t>
            </w:r>
          </w:p>
        </w:tc>
        <w:tc>
          <w:tcPr>
            <w:tcW w:type="dxa" w:w="5600"/>
            <w:tcMar>
              <w:top w:type="dxa" w:w="70"/>
              <w:left w:type="dxa" w:w="110"/>
              <w:bottom w:type="dxa" w:w="70"/>
              <w:right w:type="dxa" w:w="110"/>
            </w:tcMar>
          </w:tcPr>
          <w:p>
            <w:pPr>
              <w:spacing w:after="0" w:line="250"/>
            </w:pPr>
            <w:r>
              <w:rPr>
                <w:b w:val="false"/>
                <w:bCs w:val="false"/>
                <w:sz w:val="19"/>
                <w:szCs w:val="19"/>
              </w:rPr>
              <w:t xml:space="preserve">Nessun limite superiore: un collettivo da centomila righe diventa la transazione che il packing esiste per evitare.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Ogni decisione collegata al runtime ha un test che lo dice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Fidarsi del codice: un componente di sicurezza scollegato è indistinguibile da uno assente, e scollegarlo è un'operazione di una riga.</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D-19</w:t>
            </w:r>
          </w:p>
        </w:tc>
        <w:tc>
          <w:tcPr>
            <w:tcW w:type="dxa" w:w="3100"/>
            <w:tcMar>
              <w:top w:type="dxa" w:w="70"/>
              <w:left w:type="dxa" w:w="110"/>
              <w:bottom w:type="dxa" w:w="70"/>
              <w:right w:type="dxa" w:w="110"/>
            </w:tcMar>
          </w:tcPr>
          <w:p>
            <w:pPr>
              <w:spacing w:after="0" w:line="250"/>
            </w:pPr>
            <w:r>
              <w:rPr>
                <w:b w:val="false"/>
                <w:bCs w:val="false"/>
                <w:sz w:val="19"/>
                <w:szCs w:val="19"/>
              </w:rPr>
              <w:t xml:space="preserve">Il tetto per aggregato fa parte della policy approvata</w:t>
            </w:r>
          </w:p>
        </w:tc>
        <w:tc>
          <w:tcPr>
            <w:tcW w:type="dxa" w:w="5600"/>
            <w:tcMar>
              <w:top w:type="dxa" w:w="70"/>
              <w:left w:type="dxa" w:w="110"/>
              <w:bottom w:type="dxa" w:w="70"/>
              <w:right w:type="dxa" w:w="110"/>
            </w:tcMar>
          </w:tcPr>
          <w:p>
            <w:pPr>
              <w:spacing w:after="0" w:line="250"/>
            </w:pPr>
            <w:r>
              <w:rPr>
                <w:b w:val="false"/>
                <w:bCs w:val="false"/>
                <w:sz w:val="19"/>
                <w:szCs w:val="19"/>
              </w:rPr>
              <w:t xml:space="preserve">Trattarlo come una manopola di prestazione: cambia quali aggregati vengono cancellati, quindi cambia il perimetro.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fuso è obbligatorio per le esecuzioni reali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Lasciarlo alla disciplina operativa: senza, la finestra è definita dal fuso della macchina, che non è una decisione di nessuno.</w:t>
            </w:r>
          </w:p>
        </w:tc>
      </w:tr>
      <w:tr>
        <w:tc>
          <w:tcPr>
            <w:tcW w:type="dxa" w:w="700"/>
            <w:tcMar>
              <w:top w:type="dxa" w:w="70"/>
              <w:left w:type="dxa" w:w="110"/>
              <w:bottom w:type="dxa" w:w="70"/>
              <w:right w:type="dxa" w:w="110"/>
            </w:tcMar>
          </w:tcPr>
          <w:p>
            <w:pPr>
              <w:spacing w:after="0" w:line="250"/>
            </w:pPr>
            <w:r>
              <w:rPr>
                <w:b w:val="false"/>
                <w:bCs w:val="false"/>
                <w:sz w:val="19"/>
                <w:szCs w:val="19"/>
              </w:rPr>
              <w:t xml:space="preserve">B-1</w:t>
            </w:r>
          </w:p>
        </w:tc>
        <w:tc>
          <w:tcPr>
            <w:tcW w:type="dxa" w:w="3100"/>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 Il packer ha stato — serve a tenere insieme un collettivo — ma non tocca il database.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tcMar>
              <w:top w:type="dxa" w:w="70"/>
              <w:left w:type="dxa" w:w="110"/>
              <w:bottom w:type="dxa" w:w="70"/>
              <w:right w:type="dxa" w:w="110"/>
            </w:tcMar>
          </w:tcPr>
          <w:p>
            <w:pPr>
              <w:spacing w:after="0" w:line="250"/>
            </w:pPr>
            <w:r>
              <w:rPr>
                <w:b w:val="false"/>
                <w:bCs w:val="false"/>
                <w:sz w:val="19"/>
                <w:szCs w:val="19"/>
              </w:rPr>
              <w:t xml:space="preserve">HK-1</w:t>
            </w:r>
          </w:p>
        </w:tc>
        <w:tc>
          <w:tcPr>
            <w:tcW w:type="dxa" w:w="3100"/>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140" w:line="276"/>
      </w:pPr>
      <w:r>
        <w:rPr>
          <w:sz w:val="21"/>
          <w:szCs w:val="21"/>
        </w:rPr>
        <w:t xml:space="preserve">La classificazione conta quanto la domanda. Un punto che impedisce il primo sfoltimento e uno che si può chiarire dopo richiedono la stessa risposta, ma non nello stesso momento, e confonderli fa perdere tempo su entrambi.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000"/>
        <w:gridCol w:w="7400"/>
      </w:tblGrid>
      <w:tr>
        <w:trPr>
          <w:tblHeader/>
        </w:trPr>
        <w:tc>
          <w:tcPr>
            <w:tcW w:type="dxa" w:w="20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74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000"/>
            <w:tcMar>
              <w:top w:type="dxa" w:w="70"/>
              <w:left w:type="dxa" w:w="110"/>
              <w:bottom w:type="dxa" w:w="70"/>
              <w:right w:type="dxa" w:w="110"/>
            </w:tcMar>
          </w:tcPr>
          <w:p>
            <w:pPr>
              <w:spacing w:after="0" w:line="250"/>
            </w:pPr>
            <w:r>
              <w:rPr>
                <w:b w:val="false"/>
                <w:bCs w:val="false"/>
                <w:sz w:val="19"/>
                <w:szCs w:val="19"/>
              </w:rPr>
              <w:t xml:space="preserve">Bloccante</w:t>
            </w:r>
          </w:p>
        </w:tc>
        <w:tc>
          <w:tcPr>
            <w:tcW w:type="dxa" w:w="7400"/>
            <w:tcMar>
              <w:top w:type="dxa" w:w="70"/>
              <w:left w:type="dxa" w:w="110"/>
              <w:bottom w:type="dxa" w:w="70"/>
              <w:right w:type="dxa" w:w="110"/>
            </w:tcMar>
          </w:tcPr>
          <w:p>
            <w:pPr>
              <w:spacing w:after="0" w:line="250"/>
            </w:pPr>
            <w:r>
              <w:rPr>
                <w:b w:val="false"/>
                <w:bCs w:val="false"/>
                <w:sz w:val="19"/>
                <w:szCs w:val="19"/>
              </w:rPr>
              <w:t xml:space="preserve">Il primo sfoltimento reale non può avvenire senza risposta: senza, il perimetro di ciò che verrebbe cancellato non è definito.</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Non impedisce il go-live, ma blocca l'attivazione di una funzione specifica.</w:t>
            </w:r>
          </w:p>
        </w:tc>
      </w:tr>
      <w:tr>
        <w:tc>
          <w:tcPr>
            <w:tcW w:type="dxa" w:w="20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7400"/>
            <w:tcMar>
              <w:top w:type="dxa" w:w="70"/>
              <w:left w:type="dxa" w:w="110"/>
              <w:bottom w:type="dxa" w:w="70"/>
              <w:right w:type="dxa" w:w="110"/>
            </w:tcMar>
          </w:tcPr>
          <w:p>
            <w:pPr>
              <w:spacing w:after="0" w:line="250"/>
            </w:pPr>
            <w:r>
              <w:rPr>
                <w:b w:val="false"/>
                <w:bCs w:val="false"/>
                <w:sz w:val="19"/>
                <w:szCs w:val="19"/>
              </w:rPr>
              <w:t xml:space="preserve">Il comportamento attuale è difendibile; la risposta lo conferma o lo cambia, senza urgenza.</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Funzione oggi assente. Va deciso se e quando servirà, non come farla.</w:t>
            </w:r>
          </w:p>
        </w:tc>
      </w:tr>
    </w:tbl>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1700"/>
        <w:gridCol w:w="3100"/>
        <w:gridCol w:w="1500"/>
        <w:gridCol w:w="24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17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31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5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24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1700"/>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1700"/>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31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Strategia degli abbandoni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Esistono stati conclusivi oltre i cinque riconosciuti?</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Censiti a ogni simulazione (§4.7): non vengono mai sfoltiti finché non sono dichiarati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Quale valore per il tetto per aggregato?</w:t>
            </w:r>
          </w:p>
        </w:tc>
        <w:tc>
          <w:tcPr>
            <w:tcW w:type="dxa" w:w="1500"/>
            <w:tcMar>
              <w:top w:type="dxa" w:w="70"/>
              <w:left w:type="dxa" w:w="110"/>
              <w:bottom w:type="dxa" w:w="70"/>
              <w:right w:type="dxa" w:w="110"/>
            </w:tcMar>
          </w:tcPr>
          <w:p>
            <w:pPr>
              <w:spacing w:after="0" w:line="250"/>
            </w:pPr>
            <w:r>
              <w:rPr>
                <w:b w:val="false"/>
                <w:bCs w:val="false"/>
                <w:sz w:val="19"/>
                <w:szCs w:val="19"/>
              </w:rPr>
              <w:t xml:space="preserve">DBA</w:t>
            </w:r>
          </w:p>
        </w:tc>
        <w:tc>
          <w:tcPr>
            <w:tcW w:type="dxa" w:w="2400"/>
            <w:tcMar>
              <w:top w:type="dxa" w:w="70"/>
              <w:left w:type="dxa" w:w="110"/>
              <w:bottom w:type="dxa" w:w="70"/>
              <w:right w:type="dxa" w:w="110"/>
            </w:tcMar>
          </w:tcPr>
          <w:p>
            <w:pPr>
              <w:spacing w:after="0" w:line="250"/>
            </w:pPr>
            <w:r>
              <w:rPr>
                <w:b w:val="false"/>
                <w:bCs w:val="false"/>
                <w:sz w:val="19"/>
                <w:szCs w:val="19"/>
              </w:rPr>
              <w:t xml:space="preserve">Default prudenziale: va tarato sui pesi reali dopo la prima simulazione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PA-5</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Serve un blocco per contenzioso (legal hold)?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pPr>
        <w:pBdr>
          <w:left w:val="single" w:color="8FA3C0" w:sz="18" w:space="12"/>
        </w:pBdr>
        <w:spacing w:after="180" w:before="60" w:line="276"/>
        <w:ind w:left="360"/>
      </w:pPr>
      <w:r>
        <w:rPr>
          <w:color w:val="44506B"/>
          <w:sz w:val="20"/>
          <w:szCs w:val="20"/>
        </w:rPr>
        <w:t xml:space="preserve">Solo PA-3 e PA-4 impediscono il primo sfoltimento reale. Gli altri hanno un comportamento attuale prudente e documentato, e una risposta diversa si traduce in configurazione, non in riprogettazione.</w:t>
      </w:r>
    </w:p>
    <w:p>
      <w:pPr>
        <w:spacing w:after="140" w:line="276"/>
      </w:pPr>
      <w:r>
        <w:rPr>
          <w:sz w:val="21"/>
          <w:szCs w:val="21"/>
        </w:rPr>
        <w:t xml:space="preserve">Un secondo insieme di punti aperti riguarda la cancellazione su richiesta — per numero di relazione del debitore e per identificativo di pagamento — che è una funzione distinta dalla retention e non è oggetto di questo documento. Il disegno proposto e i suoi ventuno punti aperti, cinque dei quali bloccanti, sono in docs/disegno-cancellazione-su-richiesta.md.</w:t>
      </w:r>
    </w:p>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tetto per aggregato e finestra oraria tarati sui numeri reali.</w:t>
      </w:r>
    </w:p>
    <w:p>
      <w:pPr>
        <w:spacing w:after="90"/>
      </w:pPr>
      <w:r>
        <w:rPr>
          <w:sz w:val="21"/>
          <w:szCs w:val="21"/>
        </w:rPr>
        <w:t xml:space="preserve">☐  Fuso orario dichiarato in Purge:TimeZoneId e verificato nella prima riga di log. Senza, l'esecuzione reale viene rifiutata all'avvio.</w:t>
      </w:r>
    </w:p>
    <w:p>
      <w:pPr>
        <w:spacing w:after="90"/>
      </w:pPr>
      <w:r>
        <w:rPr>
          <w:sz w:val="21"/>
          <w:szCs w:val="21"/>
        </w:rPr>
        <w:t xml:space="preserve">☐  Verifica delle foreign key ripetuta dopo ogni rilascio dell'applicazione: una tabella nuova legata all'aggregato impedisce l'avvio (D-15).</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docs/disegno-cancellazione-su-richiesta.md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Proposta: cancellazione per relazione debitore e per identificativo di pagamento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La colonna a destra dice che cosa va deciso prima della prima esecuzione reale, e distingue i parametri che fanno parte della policy approvata da quelli che si possono cambiare in qualsiasi momento.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700"/>
        <w:gridCol w:w="1600"/>
        <w:gridCol w:w="5100"/>
      </w:tblGrid>
      <w:tr>
        <w:trPr>
          <w:tblHeader/>
        </w:trPr>
        <w:tc>
          <w:tcPr>
            <w:tcW w:type="dxa" w:w="27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6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5100"/>
            <w:shd w:fill="E7ECF3" w:val="clear"/>
            <w:tcMar>
              <w:top w:type="dxa" w:w="70"/>
              <w:left w:type="dxa" w:w="110"/>
              <w:bottom w:type="dxa" w:w="70"/>
              <w:right w:type="dxa" w:w="110"/>
            </w:tcMar>
          </w:tcPr>
          <w:p>
            <w:pPr>
              <w:spacing w:after="0" w:line="250"/>
            </w:pPr>
            <w:r>
              <w:rPr>
                <w:b/>
                <w:bCs/>
                <w:sz w:val="19"/>
                <w:szCs w:val="19"/>
              </w:rPr>
              <w:t xml:space="preserve">Effetto e stato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600"/>
            <w:tcMar>
              <w:top w:type="dxa" w:w="70"/>
              <w:left w:type="dxa" w:w="110"/>
              <w:bottom w:type="dxa" w:w="70"/>
              <w:right w:type="dxa" w:w="110"/>
            </w:tcMar>
          </w:tcPr>
          <w:p>
            <w:pPr>
              <w:spacing w:after="0" w:line="250"/>
            </w:pPr>
            <w:r>
              <w:rPr>
                <w:b w:val="false"/>
                <w:bCs w:val="false"/>
                <w:sz w:val="19"/>
                <w:szCs w:val="19"/>
              </w:rPr>
              <w:t xml:space="preserve">5</w:t>
            </w:r>
          </w:p>
        </w:tc>
        <w:tc>
          <w:tcPr>
            <w:tcW w:type="dxa" w:w="5100"/>
            <w:tcMar>
              <w:top w:type="dxa" w:w="70"/>
              <w:left w:type="dxa" w:w="110"/>
              <w:bottom w:type="dxa" w:w="70"/>
              <w:right w:type="dxa" w:w="110"/>
            </w:tcMar>
          </w:tcPr>
          <w:p>
            <w:pPr>
              <w:spacing w:after="0" w:line="250"/>
            </w:pPr>
            <w:r>
              <w:rPr>
                <w:b w:val="false"/>
                <w:bCs w:val="false"/>
                <w:sz w:val="19"/>
                <w:szCs w:val="19"/>
              </w:rPr>
              <w:t xml:space="preserve">Anni di conservazione.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Ancoraggio della soglia.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6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5100"/>
            <w:tcMar>
              <w:top w:type="dxa" w:w="70"/>
              <w:left w:type="dxa" w:w="110"/>
              <w:bottom w:type="dxa" w:w="70"/>
              <w:right w:type="dxa" w:w="110"/>
            </w:tcMar>
          </w:tcPr>
          <w:p>
            <w:pPr>
              <w:spacing w:after="0" w:line="250"/>
            </w:pPr>
            <w:r>
              <w:rPr>
                <w:b w:val="false"/>
                <w:bCs w:val="false"/>
                <w:sz w:val="19"/>
                <w:szCs w:val="19"/>
              </w:rPr>
              <w:t xml:space="preserve">Strategie attive.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AbandonedRetentionMonths</w:t>
            </w:r>
          </w:p>
        </w:tc>
        <w:tc>
          <w:tcPr>
            <w:tcW w:type="dxa" w:w="1600"/>
            <w:tcMar>
              <w:top w:type="dxa" w:w="70"/>
              <w:left w:type="dxa" w:w="110"/>
              <w:bottom w:type="dxa" w:w="70"/>
              <w:right w:type="dxa" w:w="110"/>
            </w:tcMar>
          </w:tcPr>
          <w:p>
            <w:pPr>
              <w:spacing w:after="0" w:line="250"/>
            </w:pPr>
            <w:r>
              <w:rPr>
                <w:b w:val="false"/>
                <w:bCs w:val="false"/>
                <w:sz w:val="19"/>
                <w:szCs w:val="19"/>
              </w:rPr>
              <w:t xml:space="preserve">24</w:t>
            </w:r>
          </w:p>
        </w:tc>
        <w:tc>
          <w:tcPr>
            <w:tcW w:type="dxa" w:w="5100"/>
            <w:tcMar>
              <w:top w:type="dxa" w:w="70"/>
              <w:left w:type="dxa" w:w="110"/>
              <w:bottom w:type="dxa" w:w="70"/>
              <w:right w:type="dxa" w:w="110"/>
            </w:tcMar>
          </w:tcPr>
          <w:p>
            <w:pPr>
              <w:spacing w:after="0" w:line="250"/>
            </w:pPr>
            <w:r>
              <w:rPr>
                <w:b w:val="false"/>
                <w:bCs w:val="false"/>
                <w:sz w:val="19"/>
                <w:szCs w:val="19"/>
              </w:rPr>
              <w:t xml:space="preserve">Soglia degli abbandoni.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MaxAggregateWeight</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30 000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Peso oltre il quale l'aggregato è escluso invece di essere cancellato. Zero disattiva il limite. Nella policy approvata: cambia il perimetro. Da tarare sui pesi reali.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TimeZoneId</w:t>
            </w:r>
          </w:p>
        </w:tc>
        <w:tc>
          <w:tcPr>
            <w:tcW w:type="dxa" w:w="1600"/>
            <w:tcMar>
              <w:top w:type="dxa" w:w="70"/>
              <w:left w:type="dxa" w:w="110"/>
              <w:bottom w:type="dxa" w:w="70"/>
              <w:right w:type="dxa" w:w="110"/>
            </w:tcMar>
          </w:tcPr>
          <w:p>
            <w:pPr>
              <w:spacing w:after="0" w:line="250"/>
            </w:pPr>
            <w:r>
              <w:rPr>
                <w:b w:val="false"/>
                <w:bCs w:val="false"/>
                <w:sz w:val="19"/>
                <w:szCs w:val="19"/>
              </w:rPr>
              <w:t xml:space="preserve">(fuso dell'host)</w:t>
            </w:r>
          </w:p>
        </w:tc>
        <w:tc>
          <w:tcPr>
            <w:tcW w:type="dxa" w:w="5100"/>
            <w:tcMar>
              <w:top w:type="dxa" w:w="70"/>
              <w:left w:type="dxa" w:w="110"/>
              <w:bottom w:type="dxa" w:w="70"/>
              <w:right w:type="dxa" w:w="110"/>
            </w:tcMar>
          </w:tcPr>
          <w:p>
            <w:pPr>
              <w:spacing w:after="0" w:line="250"/>
            </w:pPr>
            <w:r>
              <w:rPr>
                <w:b w:val="false"/>
                <w:bCs w:val="false"/>
                <w:sz w:val="19"/>
                <w:szCs w:val="19"/>
              </w:rPr>
              <w:t xml:space="preserve">Fuso in cui si leggono la finestra e la pianificazione interna. Obbligatorio per le esecuzioni reali con la finestra attiva: senza, il motore non parte. Il default eredita il fuso della macchina, che in un container è quasi sempre UTC.</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01:00 / 05:00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Finestra operativa, nel fuso dichiarato.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WindowGrace</w:t>
            </w:r>
          </w:p>
        </w:tc>
        <w:tc>
          <w:tcPr>
            <w:tcW w:type="dxa" w:w="1600"/>
            <w:tcMar>
              <w:top w:type="dxa" w:w="70"/>
              <w:left w:type="dxa" w:w="110"/>
              <w:bottom w:type="dxa" w:w="70"/>
              <w:right w:type="dxa" w:w="110"/>
            </w:tcMar>
          </w:tcPr>
          <w:p>
            <w:pPr>
              <w:spacing w:after="0" w:line="250"/>
            </w:pPr>
            <w:r>
              <w:rPr>
                <w:b w:val="false"/>
                <w:bCs w:val="false"/>
                <w:sz w:val="19"/>
                <w:szCs w:val="19"/>
              </w:rPr>
              <w:t xml:space="preserve">5 minuti</w:t>
            </w:r>
          </w:p>
        </w:tc>
        <w:tc>
          <w:tcPr>
            <w:tcW w:type="dxa" w:w="5100"/>
            <w:tcMar>
              <w:top w:type="dxa" w:w="70"/>
              <w:left w:type="dxa" w:w="110"/>
              <w:bottom w:type="dxa" w:w="70"/>
              <w:right w:type="dxa" w:w="110"/>
            </w:tcMar>
          </w:tcPr>
          <w:p>
            <w:pPr>
              <w:spacing w:after="0" w:line="250"/>
            </w:pPr>
            <w:r>
              <w:rPr>
                <w:b w:val="false"/>
                <w:bCs w:val="false"/>
                <w:sz w:val="19"/>
                <w:szCs w:val="19"/>
              </w:rPr>
              <w:t xml:space="preserve">Tolleranza oltre la chiusura concessa a una fase lunga per terminare in modo ordinato invece di essere troncata.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CronExpression</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 1 * * *</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Pianificazione interna della modalità servizio, interpretata nel fuso dichiarato.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w:t>
            </w:r>
          </w:p>
        </w:tc>
        <w:tc>
          <w:tcPr>
            <w:tcW w:type="dxa" w:w="1600"/>
            <w:tcMar>
              <w:top w:type="dxa" w:w="70"/>
              <w:left w:type="dxa" w:w="110"/>
              <w:bottom w:type="dxa" w:w="70"/>
              <w:right w:type="dxa" w:w="110"/>
            </w:tcMar>
          </w:tcPr>
          <w:p>
            <w:pPr>
              <w:spacing w:after="0" w:line="250"/>
            </w:pPr>
            <w:r>
              <w:rPr>
                <w:b w:val="false"/>
                <w:bCs w:val="false"/>
                <w:sz w:val="19"/>
                <w:szCs w:val="19"/>
              </w:rPr>
              <w:t xml:space="preserve">3000</w:t>
            </w:r>
          </w:p>
        </w:tc>
        <w:tc>
          <w:tcPr>
            <w:tcW w:type="dxa" w:w="5100"/>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 Da tarare.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600"/>
            <w:tcMar>
              <w:top w:type="dxa" w:w="70"/>
              <w:left w:type="dxa" w:w="110"/>
              <w:bottom w:type="dxa" w:w="70"/>
              <w:right w:type="dxa" w:w="110"/>
            </w:tcMar>
          </w:tcPr>
          <w:p>
            <w:pPr>
              <w:spacing w:after="0" w:line="250"/>
            </w:pPr>
            <w:r>
              <w:rPr>
                <w:b w:val="false"/>
                <w:bCs w:val="false"/>
                <w:sz w:val="19"/>
                <w:szCs w:val="19"/>
              </w:rPr>
              <w:t xml:space="preserve">4000</w:t>
            </w:r>
          </w:p>
        </w:tc>
        <w:tc>
          <w:tcPr>
            <w:tcW w:type="dxa" w:w="5100"/>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la leva principale sull'impatto all'operatività.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600"/>
            <w:tcMar>
              <w:top w:type="dxa" w:w="70"/>
              <w:left w:type="dxa" w:w="110"/>
              <w:bottom w:type="dxa" w:w="70"/>
              <w:right w:type="dxa" w:w="110"/>
            </w:tcMar>
          </w:tcPr>
          <w:p>
            <w:pPr>
              <w:spacing w:after="0" w:line="250"/>
            </w:pPr>
            <w:r>
              <w:rPr>
                <w:b w:val="false"/>
                <w:bCs w:val="false"/>
                <w:sz w:val="19"/>
                <w:szCs w:val="19"/>
              </w:rPr>
              <w:t xml:space="preserve">3</w:t>
            </w:r>
          </w:p>
        </w:tc>
        <w:tc>
          <w:tcPr>
            <w:tcW w:type="dxa" w:w="51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RetryDelay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 secondi</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Attesa fra un tentativo e il successivo.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600"/>
            <w:tcMar>
              <w:top w:type="dxa" w:w="70"/>
              <w:left w:type="dxa" w:w="110"/>
              <w:bottom w:type="dxa" w:w="70"/>
              <w:right w:type="dxa" w:w="110"/>
            </w:tcMar>
          </w:tcPr>
          <w:p>
            <w:pPr>
              <w:spacing w:after="0" w:line="250"/>
            </w:pPr>
            <w:r>
              <w:rPr>
                <w:b w:val="false"/>
                <w:bCs w:val="false"/>
                <w:sz w:val="19"/>
                <w:szCs w:val="19"/>
              </w:rPr>
              <w:t xml:space="preserve">10</w:t>
            </w:r>
          </w:p>
        </w:tc>
        <w:tc>
          <w:tcPr>
            <w:tcW w:type="dxa" w:w="5100"/>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Pulizia dello staging al termine del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600"/>
            <w:tcMar>
              <w:top w:type="dxa" w:w="70"/>
              <w:left w:type="dxa" w:w="110"/>
              <w:bottom w:type="dxa" w:w="70"/>
              <w:right w:type="dxa" w:w="110"/>
            </w:tcMar>
          </w:tcPr>
          <w:p>
            <w:pPr>
              <w:spacing w:after="0" w:line="250"/>
            </w:pPr>
            <w:r>
              <w:rPr>
                <w:b w:val="false"/>
                <w:bCs w:val="false"/>
                <w:sz w:val="19"/>
                <w:szCs w:val="19"/>
              </w:rPr>
              <w:t xml:space="preserve">90</w:t>
            </w:r>
          </w:p>
        </w:tc>
        <w:tc>
          <w:tcPr>
            <w:tcW w:type="dxa" w:w="51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HousekeepingBatchSize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Righe cancellate per giro dalla pulizia dello staging.</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HousekeepingMaxRunsPerCycle</w:t>
            </w:r>
          </w:p>
        </w:tc>
        <w:tc>
          <w:tcPr>
            <w:tcW w:type="dxa" w:w="1600"/>
            <w:tcMar>
              <w:top w:type="dxa" w:w="70"/>
              <w:left w:type="dxa" w:w="110"/>
              <w:bottom w:type="dxa" w:w="70"/>
              <w:right w:type="dxa" w:w="110"/>
            </w:tcMar>
          </w:tcPr>
          <w:p>
            <w:pPr>
              <w:spacing w:after="0" w:line="250"/>
            </w:pPr>
            <w:r>
              <w:rPr>
                <w:b w:val="false"/>
                <w:bCs w:val="false"/>
                <w:sz w:val="19"/>
                <w:szCs w:val="19"/>
              </w:rPr>
              <w:t xml:space="preserve">50</w:t>
            </w:r>
          </w:p>
        </w:tc>
        <w:tc>
          <w:tcPr>
            <w:tcW w:type="dxa" w:w="5100"/>
            <w:tcMar>
              <w:top w:type="dxa" w:w="70"/>
              <w:left w:type="dxa" w:w="110"/>
              <w:bottom w:type="dxa" w:w="70"/>
              <w:right w:type="dxa" w:w="110"/>
            </w:tcMar>
          </w:tcPr>
          <w:p>
            <w:pPr>
              <w:spacing w:after="0" w:line="250"/>
            </w:pPr>
            <w:r>
              <w:rPr>
                <w:b w:val="false"/>
                <w:bCs w:val="false"/>
                <w:sz w:val="19"/>
                <w:szCs w:val="19"/>
              </w:rPr>
              <w:t xml:space="preserve">Run ripuliti al massimo per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Timeout dei comandi SQL.</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AuditBaselineEnabled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Produce il report previsionale anche sui run reali, per il confronto con l'audit.</w:t>
            </w:r>
          </w:p>
        </w:tc>
      </w:tr>
    </w:tbl>
    <w:p>
      <w:pPr>
        <w:pBdr>
          <w:left w:val="single" w:color="8FA3C0" w:sz="18" w:space="12"/>
        </w:pBdr>
        <w:spacing w:after="180" w:before="60" w:line="276"/>
        <w:ind w:left="360"/>
      </w:pPr>
      <w:r>
        <w:rPr>
          <w:color w:val="44506B"/>
          <w:sz w:val="20"/>
          <w:szCs w:val="20"/>
        </w:rPr>
        <w:t xml:space="preserve">I parametri della policy approvata non si possono cambiare senza una nuova approvazione: il motore ricalcola l'impronta a ogni esecuzione reale e si ferma se non la trova registrata (§9.2).</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2026-09-09T19:05:53.596Z</dcterms:created>
  <dcterms:modified xsi:type="dcterms:W3CDTF">2026-09-09T19:05:53.608Z</dcterms:modified>
</cp:coreProperties>
</file>

<file path=docProps/custom.xml><?xml version="1.0" encoding="utf-8"?>
<Properties xmlns="http://schemas.openxmlformats.org/officeDocument/2006/custom-properties" xmlns:vt="http://schemas.openxmlformats.org/officeDocument/2006/docPropsVTypes"/>
</file>