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post-merge feature/dapper-dbup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cosa viene cancellato: anni di retention, modo di ancoraggio, strategie attive. Ha un'impronta crittografica ed è ciò che viene approvato.</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4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44285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tcMar>
              <w:top w:type="dxa" w:w="70"/>
              <w:left w:type="dxa" w:w="110"/>
              <w:bottom w:type="dxa" w:w="70"/>
              <w:right w:type="dxa" w:w="110"/>
            </w:tcMar>
          </w:tcPr>
          <w:p>
            <w:pPr>
              <w:spacing w:after="0" w:line="250"/>
            </w:pPr>
            <w:r>
              <w:rPr>
                <w:b w:val="false"/>
                <w:bCs w:val="false"/>
                <w:sz w:val="19"/>
                <w:szCs w:val="19"/>
              </w:rPr>
              <w:t xml:space="preserve">Non accede al database: è una funzione pura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29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967375"/>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 tipicamente un collettivo grande, o un ordine con centinaia di revisioni — diventa una slice a sé. Si accetta consapevolmente un picco di lock, perché l'alternativa sarebbe spezzare l'aggregato.</w:t>
      </w:r>
    </w:p>
    <w:p>
      <w:pPr>
        <w:pStyle w:val="Heading2"/>
        <w:spacing w:after="120" w:before="260"/>
      </w:pPr>
      <w:r>
        <w:rPr>
          <w:b/>
          <w:bCs/>
          <w:color w:val="1F3864"/>
          <w:sz w:val="24"/>
          <w:szCs w:val="24"/>
        </w:rPr>
        <w:t xml:space="preserve">6.3 Il packer è una funzione pura</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Questo la rende verificabile in modo esaustivo con test in memoria, senza database — ed è il motivo per cui i casi limite (aggregato sovradimensionato, collettivo a cavallo di due slice, ordine senza peso)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anni di retention, ancoraggio, strategie attive — ha un'impronta crittografica. Prima di ogni esecuzione reale il motore verifica che quell'impronta sia stata approvata e registrata sul database. Cambiare un parametro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2"/>
        <w:spacing w:after="120" w:before="260"/>
      </w:pPr>
      <w:r>
        <w:rPr>
          <w:b/>
          <w:bCs/>
          <w:color w:val="1F3864"/>
          <w:sz w:val="24"/>
          <w:szCs w:val="24"/>
        </w:rPr>
        <w:t xml:space="preserve">9.2 L'approvazione, in pratica</w:t>
      </w:r>
    </w:p>
    <w:p>
      <w:pPr>
        <w:spacing w:after="140" w:line="276"/>
      </w:pPr>
      <w:r>
        <w:rPr>
          <w:sz w:val="21"/>
          <w:szCs w:val="21"/>
        </w:rPr>
        <w:t xml:space="preserve">Il flusso è deliberatamente scomodo, e la scomodità è il punto: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2.  [ lettura del report, esame umano ]</w:t>
      </w:r>
    </w:p>
    <w:p>
      <w:pPr>
        <w:shd w:fill="F2F4F7" w:val="clear"/>
        <w:spacing w:after="0" w:line="240"/>
        <w:ind w:left="360"/>
      </w:pPr>
      <w:r>
        <w:rPr>
          <w:rFonts w:ascii="Consolas" w:cs="Consolas" w:eastAsia="Consolas" w:hAnsi="Consolas"/>
          <w:color w:val="20304A"/>
          <w:sz w:val="18"/>
          <w:szCs w:val="18"/>
        </w:rPr>
        <w:t xml:space="preserve">3.  purge approve &lt;run-id&gt; --by "&lt;nome&gt;"  registra l'approvazione</w:t>
      </w:r>
    </w:p>
    <w:p>
      <w:pPr>
        <w:shd w:fill="F2F4F7" w:val="clear"/>
        <w:spacing w:after="0" w:line="240"/>
        <w:ind w:left="360"/>
      </w:pPr>
      <w:r>
        <w:rPr>
          <w:rFonts w:ascii="Consolas" w:cs="Consolas" w:eastAsia="Consolas" w:hAnsi="Consolas"/>
          <w:color w:val="20304A"/>
          <w:sz w:val="18"/>
          <w:szCs w:val="18"/>
        </w:rPr>
        <w:t xml:space="preserve">4.  GRANT DELETE ...                      il DBA concede il permesso</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Ciò che si approva è la policy, non il singolo run: una sola approvazione copre tutte le strategie di quella configurazione. Il comando rifiuta un run che non sia una simulazione conclusa, e rifiuta di approvare una policy diversa da quella attualmente configurata.</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I comandi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8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800"/>
            <w:tcMar>
              <w:top w:type="dxa" w:w="70"/>
              <w:left w:type="dxa" w:w="110"/>
              <w:bottom w:type="dxa" w:w="70"/>
              <w:right w:type="dxa" w:w="110"/>
            </w:tcMar>
          </w:tcPr>
          <w:p>
            <w:pPr>
              <w:spacing w:after="0" w:line="250"/>
            </w:pPr>
            <w:r>
              <w:rPr>
                <w:b w:val="false"/>
                <w:bCs w:val="false"/>
                <w:sz w:val="19"/>
                <w:szCs w:val="19"/>
              </w:rPr>
              <w:t xml:space="preserve">Allinea lo schema Purge, o ne riporta lo stato</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 [Strategia]</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Simula: nessuna cancellazione, produce il report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w:t>
            </w:r>
          </w:p>
        </w:tc>
        <w:tc>
          <w:tcPr>
            <w:tcW w:type="dxa" w:w="5800"/>
            <w:tcMar>
              <w:top w:type="dxa" w:w="70"/>
              <w:left w:type="dxa" w:w="110"/>
              <w:bottom w:type="dxa" w:w="70"/>
              <w:right w:type="dxa" w:w="110"/>
            </w:tcMar>
          </w:tcPr>
          <w:p>
            <w:pPr>
              <w:spacing w:after="0" w:line="250"/>
            </w:pPr>
            <w:r>
              <w:rPr>
                <w:b w:val="false"/>
                <w:bCs w:val="false"/>
                <w:sz w:val="19"/>
                <w:szCs w:val="19"/>
              </w:rPr>
              <w:t xml:space="preserve">Registra l'approvazione della policy</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[Strategia]</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Esecuzione reale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800"/>
            <w:tcMar>
              <w:top w:type="dxa" w:w="70"/>
              <w:left w:type="dxa" w:w="110"/>
              <w:bottom w:type="dxa" w:w="70"/>
              <w:right w:type="dxa" w:w="110"/>
            </w:tcMar>
          </w:tcPr>
          <w:p>
            <w:pPr>
              <w:spacing w:after="0" w:line="250"/>
            </w:pPr>
            <w:r>
              <w:rPr>
                <w:b w:val="false"/>
                <w:bCs w:val="false"/>
                <w:sz w:val="19"/>
                <w:szCs w:val="19"/>
              </w:rPr>
              <w:t xml:space="preserve">Servizio con pianificazione interna</w:t>
            </w:r>
          </w:p>
        </w:tc>
      </w:tr>
    </w:tbl>
    <w:p>
      <w:pPr>
        <w:pStyle w:val="Heading2"/>
        <w:spacing w:after="120" w:before="260"/>
      </w:pPr>
      <w:r>
        <w:rPr>
          <w:b/>
          <w:bCs/>
          <w:color w:val="1F3864"/>
          <w:sz w:val="24"/>
          <w:szCs w:val="24"/>
        </w:rPr>
        <w:t xml:space="preserve">10.3 Codici di uscita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Normale sui volumi grandi: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Riprende dal checkpoint</w:t>
            </w:r>
          </w:p>
        </w:tc>
      </w:tr>
    </w:tbl>
    <w:p>
      <w:pPr>
        <w:pStyle w:val="Heading2"/>
        <w:spacing w:after="120" w:before="260"/>
      </w:pPr>
      <w:r>
        <w:rPr>
          <w:b/>
          <w:bCs/>
          <w:color w:val="1F3864"/>
          <w:sz w:val="24"/>
          <w:szCs w:val="24"/>
        </w:rPr>
        <w:t xml:space="preserve">10.4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10.5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B-1</w:t>
            </w:r>
          </w:p>
        </w:tc>
        <w:tc>
          <w:tcPr>
            <w:tcW w:type="dxa" w:w="3100"/>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tcMar>
              <w:top w:type="dxa" w:w="70"/>
              <w:left w:type="dxa" w:w="110"/>
              <w:bottom w:type="dxa" w:w="70"/>
              <w:right w:type="dxa" w:w="110"/>
            </w:tcMar>
          </w:tcPr>
          <w:p>
            <w:pPr>
              <w:spacing w:after="0" w:line="250"/>
            </w:pPr>
            <w:r>
              <w:rPr>
                <w:b w:val="false"/>
                <w:bCs w:val="false"/>
                <w:sz w:val="19"/>
                <w:szCs w:val="19"/>
              </w:rPr>
              <w:t xml:space="preserve">HK-1</w:t>
            </w:r>
          </w:p>
        </w:tc>
        <w:tc>
          <w:tcPr>
            <w:tcW w:type="dxa" w:w="3100"/>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700"/>
        <w:gridCol w:w="1900"/>
        <w:gridCol w:w="31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7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9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31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37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9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31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37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PA-5</w:t>
            </w:r>
          </w:p>
        </w:tc>
        <w:tc>
          <w:tcPr>
            <w:tcW w:type="dxa" w:w="3700"/>
            <w:tcMar>
              <w:top w:type="dxa" w:w="70"/>
              <w:left w:type="dxa" w:w="110"/>
              <w:bottom w:type="dxa" w:w="70"/>
              <w:right w:type="dxa" w:w="110"/>
            </w:tcMar>
          </w:tcPr>
          <w:p>
            <w:pPr>
              <w:spacing w:after="0" w:line="250"/>
            </w:pPr>
            <w:r>
              <w:rPr>
                <w:b w:val="false"/>
                <w:bCs w:val="false"/>
                <w:sz w:val="19"/>
                <w:szCs w:val="19"/>
              </w:rPr>
              <w:t xml:space="preserve">Serve un meccanismo di blocco per contenzioso (legal hold)?</w:t>
            </w:r>
          </w:p>
        </w:tc>
        <w:tc>
          <w:tcPr>
            <w:tcW w:type="dxa" w:w="1900"/>
            <w:tcMar>
              <w:top w:type="dxa" w:w="70"/>
              <w:left w:type="dxa" w:w="110"/>
              <w:bottom w:type="dxa" w:w="70"/>
              <w:right w:type="dxa" w:w="110"/>
            </w:tcMar>
          </w:tcPr>
          <w:p>
            <w:pPr>
              <w:spacing w:after="0" w:line="250"/>
            </w:pPr>
            <w:r>
              <w:rPr>
                <w:b w:val="false"/>
                <w:bCs w:val="false"/>
                <w:sz w:val="19"/>
                <w:szCs w:val="19"/>
              </w:rPr>
              <w:t xml:space="preserve">Legal</w:t>
            </w:r>
          </w:p>
        </w:tc>
        <w:tc>
          <w:tcPr>
            <w:tcW w:type="dxa" w:w="3100"/>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37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37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9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3100"/>
            <w:tcMar>
              <w:top w:type="dxa" w:w="70"/>
              <w:left w:type="dxa" w:w="110"/>
              <w:bottom w:type="dxa" w:w="70"/>
              <w:right w:type="dxa" w:w="110"/>
            </w:tcMar>
          </w:tcPr>
          <w:p>
            <w:pPr>
              <w:spacing w:after="0" w:line="250"/>
            </w:pPr>
            <w:r>
              <w:rPr>
                <w:b w:val="false"/>
                <w:bCs w:val="false"/>
                <w:sz w:val="19"/>
                <w:szCs w:val="19"/>
              </w:rPr>
              <w:t xml:space="preserve">Strategia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3700"/>
            <w:shd w:fill="F5F7FA" w:val="clear"/>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37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900"/>
            <w:tcMar>
              <w:top w:type="dxa" w:w="70"/>
              <w:left w:type="dxa" w:w="110"/>
              <w:bottom w:type="dxa" w:w="70"/>
              <w:right w:type="dxa" w:w="110"/>
            </w:tcMar>
          </w:tcPr>
          <w:p>
            <w:pPr>
              <w:spacing w:after="0" w:line="250"/>
            </w:pPr>
            <w:r>
              <w:rPr>
                <w:b w:val="false"/>
                <w:bCs w:val="false"/>
                <w:sz w:val="19"/>
                <w:szCs w:val="19"/>
              </w:rPr>
              <w:t xml:space="preserve">Compliance</w:t>
            </w:r>
          </w:p>
        </w:tc>
        <w:tc>
          <w:tcPr>
            <w:tcW w:type="dxa" w:w="31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e finestra oraria tarate sui numeri reali.</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Quelli marcati vanno tarati sui numeri reali prima della prima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000"/>
        <w:gridCol w:w="1500"/>
        <w:gridCol w:w="4900"/>
      </w:tblGrid>
      <w:tr>
        <w:trPr>
          <w:tblHeader/>
        </w:trPr>
        <w:tc>
          <w:tcPr>
            <w:tcW w:type="dxa" w:w="30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5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49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Anni di conservazione.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Modo di ancoraggio della soglia. Fa parte della policy approvata.</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5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4900"/>
            <w:tcMar>
              <w:top w:type="dxa" w:w="70"/>
              <w:left w:type="dxa" w:w="110"/>
              <w:bottom w:type="dxa" w:w="70"/>
              <w:right w:type="dxa" w:w="110"/>
            </w:tcMar>
          </w:tcPr>
          <w:p>
            <w:pPr>
              <w:spacing w:after="0" w:line="250"/>
            </w:pPr>
            <w:r>
              <w:rPr>
                <w:b w:val="false"/>
                <w:bCs w:val="false"/>
                <w:sz w:val="19"/>
                <w:szCs w:val="19"/>
              </w:rPr>
              <w:t xml:space="preserve">Strategie attive. Fa parte della policy approvata.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3000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  ▲</w:t>
            </w:r>
          </w:p>
        </w:tc>
        <w:tc>
          <w:tcPr>
            <w:tcW w:type="dxa" w:w="1500"/>
            <w:tcMar>
              <w:top w:type="dxa" w:w="70"/>
              <w:left w:type="dxa" w:w="110"/>
              <w:bottom w:type="dxa" w:w="70"/>
              <w:right w:type="dxa" w:w="110"/>
            </w:tcMar>
          </w:tcPr>
          <w:p>
            <w:pPr>
              <w:spacing w:after="0" w:line="250"/>
            </w:pPr>
            <w:r>
              <w:rPr>
                <w:b w:val="false"/>
                <w:bCs w:val="false"/>
                <w:sz w:val="19"/>
                <w:szCs w:val="19"/>
              </w:rPr>
              <w:t xml:space="preserve">500</w:t>
            </w:r>
          </w:p>
        </w:tc>
        <w:tc>
          <w:tcPr>
            <w:tcW w:type="dxa" w:w="4900"/>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500"/>
            <w:tcMar>
              <w:top w:type="dxa" w:w="70"/>
              <w:left w:type="dxa" w:w="110"/>
              <w:bottom w:type="dxa" w:w="70"/>
              <w:right w:type="dxa" w:w="110"/>
            </w:tcMar>
          </w:tcPr>
          <w:p>
            <w:pPr>
              <w:spacing w:after="0" w:line="250"/>
            </w:pPr>
            <w:r>
              <w:rPr>
                <w:b w:val="false"/>
                <w:bCs w:val="false"/>
                <w:sz w:val="19"/>
                <w:szCs w:val="19"/>
              </w:rPr>
              <w:t xml:space="preserve">3</w:t>
            </w:r>
          </w:p>
        </w:tc>
        <w:tc>
          <w:tcPr>
            <w:tcW w:type="dxa" w:w="49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500"/>
            <w:tcMar>
              <w:top w:type="dxa" w:w="70"/>
              <w:left w:type="dxa" w:w="110"/>
              <w:bottom w:type="dxa" w:w="70"/>
              <w:right w:type="dxa" w:w="110"/>
            </w:tcMar>
          </w:tcPr>
          <w:p>
            <w:pPr>
              <w:spacing w:after="0" w:line="250"/>
            </w:pPr>
            <w:r>
              <w:rPr>
                <w:b w:val="false"/>
                <w:bCs w:val="false"/>
                <w:sz w:val="19"/>
                <w:szCs w:val="19"/>
              </w:rPr>
              <w:t xml:space="preserve">5</w:t>
            </w:r>
          </w:p>
        </w:tc>
        <w:tc>
          <w:tcPr>
            <w:tcW w:type="dxa" w:w="4900"/>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  ▲</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è la leva principale sull'impatto all'operatività.</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  ▲</w:t>
            </w:r>
          </w:p>
        </w:tc>
        <w:tc>
          <w:tcPr>
            <w:tcW w:type="dxa" w:w="1500"/>
            <w:tcMar>
              <w:top w:type="dxa" w:w="70"/>
              <w:left w:type="dxa" w:w="110"/>
              <w:bottom w:type="dxa" w:w="70"/>
              <w:right w:type="dxa" w:w="110"/>
            </w:tcMar>
          </w:tcPr>
          <w:p>
            <w:pPr>
              <w:spacing w:after="0" w:line="250"/>
            </w:pPr>
            <w:r>
              <w:rPr>
                <w:b w:val="false"/>
                <w:bCs w:val="false"/>
                <w:sz w:val="19"/>
                <w:szCs w:val="19"/>
              </w:rPr>
              <w:t xml:space="preserve">01:00 / 05:00</w:t>
            </w:r>
          </w:p>
        </w:tc>
        <w:tc>
          <w:tcPr>
            <w:tcW w:type="dxa" w:w="4900"/>
            <w:tcMar>
              <w:top w:type="dxa" w:w="70"/>
              <w:left w:type="dxa" w:w="110"/>
              <w:bottom w:type="dxa" w:w="70"/>
              <w:right w:type="dxa" w:w="110"/>
            </w:tcMar>
          </w:tcPr>
          <w:p>
            <w:pPr>
              <w:spacing w:after="0" w:line="250"/>
            </w:pPr>
            <w:r>
              <w:rPr>
                <w:b w:val="false"/>
                <w:bCs w:val="false"/>
                <w:sz w:val="19"/>
                <w:szCs w:val="19"/>
              </w:rPr>
              <w:t xml:space="preserve">Finestra oraria, nell'ora locale dell'host.</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500"/>
            <w:tcMar>
              <w:top w:type="dxa" w:w="70"/>
              <w:left w:type="dxa" w:w="110"/>
              <w:bottom w:type="dxa" w:w="70"/>
              <w:right w:type="dxa" w:w="110"/>
            </w:tcMar>
          </w:tcPr>
          <w:p>
            <w:pPr>
              <w:spacing w:after="0" w:line="250"/>
            </w:pPr>
            <w:r>
              <w:rPr>
                <w:b w:val="false"/>
                <w:bCs w:val="false"/>
                <w:sz w:val="19"/>
                <w:szCs w:val="19"/>
              </w:rPr>
              <w:t xml:space="preserve">90</w:t>
            </w:r>
          </w:p>
        </w:tc>
        <w:tc>
          <w:tcPr>
            <w:tcW w:type="dxa" w:w="49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30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49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w:t>
            </w:r>
          </w:p>
        </w:tc>
      </w:tr>
      <w:tr>
        <w:tc>
          <w:tcPr>
            <w:tcW w:type="dxa" w:w="30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500"/>
            <w:tcMar>
              <w:top w:type="dxa" w:w="70"/>
              <w:left w:type="dxa" w:w="110"/>
              <w:bottom w:type="dxa" w:w="70"/>
              <w:right w:type="dxa" w:w="110"/>
            </w:tcMar>
          </w:tcPr>
          <w:p>
            <w:pPr>
              <w:spacing w:after="0" w:line="250"/>
            </w:pPr>
            <w:r>
              <w:rPr>
                <w:b w:val="false"/>
                <w:bCs w:val="false"/>
                <w:sz w:val="19"/>
                <w:szCs w:val="19"/>
              </w:rPr>
              <w:t xml:space="preserve">300</w:t>
            </w:r>
          </w:p>
        </w:tc>
        <w:tc>
          <w:tcPr>
            <w:tcW w:type="dxa" w:w="4900"/>
            <w:tcMar>
              <w:top w:type="dxa" w:w="70"/>
              <w:left w:type="dxa" w:w="110"/>
              <w:bottom w:type="dxa" w:w="70"/>
              <w:right w:type="dxa" w:w="110"/>
            </w:tcMar>
          </w:tcPr>
          <w:p>
            <w:pPr>
              <w:spacing w:after="0" w:line="250"/>
            </w:pPr>
            <w:r>
              <w:rPr>
                <w:b w:val="false"/>
                <w:bCs w:val="false"/>
                <w:sz w:val="19"/>
                <w:szCs w:val="19"/>
              </w:rPr>
              <w:t xml:space="preserve">Timeout dei comandi SQL.</w:t>
            </w:r>
          </w:p>
        </w:tc>
      </w:tr>
    </w:tbl>
    <w:p>
      <w:pPr>
        <w:pBdr>
          <w:left w:val="single" w:color="8FA3C0" w:sz="18" w:space="12"/>
        </w:pBdr>
        <w:spacing w:after="180" w:before="60" w:line="276"/>
        <w:ind w:left="360"/>
      </w:pPr>
      <w:r>
        <w:rPr>
          <w:color w:val="44506B"/>
          <w:sz w:val="20"/>
          <w:szCs w:val="20"/>
        </w:rPr>
        <w:t xml:space="preserve">▲ = da tarare sui numeri reali prima della prima esecuzione.</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2026-09-09T06:27:06.628Z</dcterms:created>
  <dcterms:modified xsi:type="dcterms:W3CDTF">2026-09-09T06:27:06.629Z</dcterms:modified>
</cp:coreProperties>
</file>

<file path=docProps/custom.xml><?xml version="1.0" encoding="utf-8"?>
<Properties xmlns="http://schemas.openxmlformats.org/officeDocument/2006/custom-properties" xmlns:vt="http://schemas.openxmlformats.org/officeDocument/2006/docPropsVTypes"/>
</file>