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con D-17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cosa viene cancellato: anni di retention, modo di ancoraggio, strategie attive. Ha un'impronta crittografica ed è ciò che viene approvato.</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4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44285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tcMar>
              <w:top w:type="dxa" w:w="70"/>
              <w:left w:type="dxa" w:w="110"/>
              <w:bottom w:type="dxa" w:w="70"/>
              <w:right w:type="dxa" w:w="110"/>
            </w:tcMar>
          </w:tcPr>
          <w:p>
            <w:pPr>
              <w:spacing w:after="0" w:line="250"/>
            </w:pPr>
            <w:r>
              <w:rPr>
                <w:b w:val="false"/>
                <w:bCs w:val="false"/>
                <w:sz w:val="19"/>
                <w:szCs w:val="19"/>
              </w:rPr>
              <w:t xml:space="preserve">Non accede al database: è una funzione pura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29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967375"/>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Style w:val="Heading3"/>
        <w:spacing w:after="100" w:before="200"/>
      </w:pPr>
      <w:r>
        <w:rPr>
          <w:b/>
          <w:bCs/>
          <w:color w:val="2E4570"/>
          <w:sz w:val="22"/>
          <w:szCs w:val="22"/>
        </w:rPr>
        <w:t xml:space="preserve">Il censimento degli stati non riconosciuti</w:t>
      </w:r>
    </w:p>
    <w:p>
      <w:pPr>
        <w:spacing w:after="140" w:line="276"/>
      </w:pPr>
      <w:r>
        <w:rPr>
          <w:sz w:val="21"/>
          <w:szCs w:val="21"/>
        </w:rPr>
        <w:t xml:space="preserve">Le validazioni fermano il run. Accanto a loro il report della simulazione porta un censimento che non ferma nulla: gli stati presenti sugli ordini che non figurano fra i cinque riconosciuti come terminali, con quanti ordini oltre soglia li portano e da quando.</w:t>
      </w:r>
    </w:p>
    <w:p>
      <w:pPr>
        <w:spacing w:after="140" w:line="276"/>
      </w:pPr>
      <w:r>
        <w:rPr>
          <w:sz w:val="21"/>
          <w:szCs w:val="21"/>
        </w:rPr>
        <w:t xml:space="preserve">Non è un controllo, ed è deliberato: se uno stato nuovo sia conclusivo lo sa il dominio, non il purge, e bloccare l'esecuzione perché ne è comparso uno sarebbe sbagliato quanto ignorarlo. Ma senza quella riga la domanda non verrebbe posta da nessuno, e quegli ordini resterebbero a database per sempre mentre il purge continua a girare verde. È l'unico modo in cui lo schema applicativo può derivare in silenzio: una tabella nuova fa fallire una cancellazione, una colonna rimossa fa fallire una query, uno stato nuovo non produce niente (D-15).</w:t>
      </w:r>
    </w:p>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della slice — tipicamente un collettivo grande, o un ordine con centinaia di revisioni — diventa una slice a sé. Si accetta consapevolmente un picco di lock, perché l'alternativa sarebbe spezzare l'aggregato.</w:t>
      </w:r>
    </w:p>
    <w:p>
      <w:pPr>
        <w:pStyle w:val="ListParagraph"/>
        <w:numPr>
          <w:ilvl w:val="0"/>
          <w:numId w:val="2"/>
        </w:numPr>
        <w:spacing w:after="90" w:line="276"/>
      </w:pPr>
      <w:r>
        <w:rPr>
          <w:sz w:val="21"/>
          <w:szCs w:val="21"/>
        </w:rPr>
        <w:t xml:space="preserve">Aggregati oltre il secondo tetto: sopra un limite molto più alto l'aggregato non entra in alcuna slice. Viene escluso, censito con il motivo e resta a database.</w:t>
      </w:r>
    </w:p>
    <w:p>
      <w:pPr>
        <w:pStyle w:val="Heading3"/>
        <w:spacing w:after="100" w:before="200"/>
      </w:pPr>
      <w:r>
        <w:rPr>
          <w:b/>
          <w:bCs/>
          <w:color w:val="2E4570"/>
          <w:sz w:val="22"/>
          <w:szCs w:val="22"/>
        </w:rPr>
        <w:t xml:space="preserve">Perché i tetti sono due</w:t>
      </w:r>
    </w:p>
    <w:p>
      <w:pPr>
        <w:spacing w:after="140" w:line="276"/>
      </w:pPr>
      <w:r>
        <w:rPr>
          <w:sz w:val="21"/>
          <w:szCs w:val="21"/>
        </w:rPr>
        <w:t xml:space="preserve">«Si accetta un picco di lock» è vero fino a un certo peso e falso oltre. Un collettivo da duecento componenti con molte revisioni può valere centomila righe: cancellarlo in una sola transazione innesca la lock escalation e gonfia il log, cioè esattamente ciò che questo capitolo esiste per evitare. Il primo tetto dimensiona la slice; il secondo dice fino a dove il picco è accettabile.</w:t>
      </w:r>
    </w:p>
    <w:p>
      <w:pPr>
        <w:spacing w:after="140" w:line="276"/>
      </w:pPr>
      <w:r>
        <w:rPr>
          <w:sz w:val="21"/>
          <w:szCs w:val="21"/>
        </w:rPr>
        <w:t xml:space="preserve">Sopra il secondo tetto l'aggregato viene messo da parte con un motivo, compare nel report e resta a database finché qualcuno decide come trattarlo (D-17). Spezzarlo sarebbe l'alternativa: per un collettivo è escluso dall'atomicità, per un ordine singolo richiederebbe un meccanismo nuovo con una propria atomicità da dimostrare, per un caso che dovrebbe essere raro. Escludere e censire costa niente e rende il caso misurabile; se il censimento mostrasse che è frequente, allora varrebbe la pena costruire lo spezzamento.</w:t>
      </w:r>
    </w:p>
    <w:p>
      <w:pPr>
        <w:pStyle w:val="Heading2"/>
        <w:spacing w:after="120" w:before="260"/>
      </w:pPr>
      <w:r>
        <w:rPr>
          <w:b/>
          <w:bCs/>
          <w:color w:val="1F3864"/>
          <w:sz w:val="24"/>
          <w:szCs w:val="24"/>
        </w:rPr>
        <w:t xml:space="preserve">6.3 Il packer è una funzione pura</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Questo la rende verificabile in modo esaustivo con test in memoria, senza database — ed è il motivo per cui i casi limite (aggregato sovradimensionato, collettivo a cavallo di due slice, ordine senza peso)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pPr>
        <w:pStyle w:val="Heading3"/>
        <w:spacing w:after="100" w:before="200"/>
      </w:pPr>
      <w:r>
        <w:rPr>
          <w:b/>
          <w:bCs/>
          <w:color w:val="2E4570"/>
          <w:sz w:val="22"/>
          <w:szCs w:val="22"/>
        </w:rPr>
        <w:t xml:space="preserve">Il fuso della finestra è dichiarato, non ereditato</w:t>
      </w:r>
    </w:p>
    <w:p>
      <w:pPr>
        <w:spacing w:after="140" w:line="276"/>
      </w:pPr>
      <w:r>
        <w:rPr>
          <w:sz w:val="21"/>
          <w:szCs w:val="21"/>
        </w:rPr>
        <w:t xml:space="preserve">«Dall'una alle cinque» non significa nulla senza un fuso. L'orario si legge in quello indicato in configurazione (</w:t>
      </w:r>
      <w:r>
        <w:rPr>
          <w:rFonts w:ascii="Consolas" w:cs="Consolas" w:eastAsia="Consolas" w:hAnsi="Consolas"/>
          <w:color w:val="20304A"/>
          <w:sz w:val="21"/>
          <w:szCs w:val="21"/>
        </w:rPr>
        <w:t xml:space="preserve">TimeZoneId</w:t>
      </w:r>
      <w:r>
        <w:rPr>
          <w:sz w:val="21"/>
          <w:szCs w:val="21"/>
        </w:rPr>
        <w:t xml:space="preserve">), non in quello dell'host: in un container il fuso locale è quasi sempre UTC, e la finestra diventerebbe 02:00–06:00 italiane d'inverno e 03:00–07:00 d'estate — tutte le notti, senza errori e senza avvisi. Il fuso in uso viene scritto nel log all'avvio, così una configurazione sbagliata si vede alla prima riga invece che dai grafici di carico.</w:t>
      </w:r>
    </w:p>
    <w:p>
      <w:pPr>
        <w:spacing w:after="140" w:line="276"/>
      </w:pPr>
      <w:r>
        <w:rPr>
          <w:sz w:val="21"/>
          <w:szCs w:val="21"/>
        </w:rPr>
        <w:t xml:space="preserve">La scadenza si calcola inoltre costruendo l'istante di chiusura, non sottraendo due orari. Sembra un dettaglio e non lo è: il timer che ne deriva misura tempo reale, mentre la differenza fra due orari misura orologio, e nelle due notti di cambio ora le due cose divergono di sessanta minuti. Nella notte di primavera la scadenza risultava un'ora più generosa, e una fase lunga poteva proseguire fino alle sei del mattino (D-16).</w:t>
      </w:r>
    </w:p>
    <w:p>
      <w:pPr>
        <w:pBdr>
          <w:left w:val="single" w:color="8FA3C0" w:sz="18" w:space="12"/>
        </w:pBdr>
        <w:spacing w:after="180" w:before="60" w:line="276"/>
        <w:ind w:left="360"/>
      </w:pPr>
      <w:r>
        <w:rPr>
          <w:color w:val="44506B"/>
          <w:sz w:val="20"/>
          <w:szCs w:val="20"/>
        </w:rPr>
        <w:t xml:space="preserve">I due casi patologici sono gestiti esplicitamente. Se l'orario di chiusura non esiste in quella data — il salto di primavera — si prende il primo istante valido successivo. Se esiste due volte — il ritorno all'ora solare — si prende il primo: chiudere in anticipo costa un'ora di lavoro non fatto, chiudere in ritardo porta il purge nell'orario lavorativo.</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anni di retention, ancoraggio, strategie attive — ha un'impronta crittografica. Prima di ogni esecuzione reale il motore verifica che quell'impronta sia stata approvata e registrata sul database. Cambiare un parametro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2"/>
        <w:spacing w:after="120" w:before="260"/>
      </w:pPr>
      <w:r>
        <w:rPr>
          <w:b/>
          <w:bCs/>
          <w:color w:val="1F3864"/>
          <w:sz w:val="24"/>
          <w:szCs w:val="24"/>
        </w:rPr>
        <w:t xml:space="preserve">9.2 L'approvazione della policy</w:t>
      </w:r>
    </w:p>
    <w:p>
      <w:pPr>
        <w:spacing w:after="140" w:line="276"/>
      </w:pPr>
      <w:r>
        <w:rPr>
          <w:b w:val="1"/>
          <w:bCs w:val="1"/>
          <w:sz w:val="21"/>
          <w:szCs w:val="21"/>
        </w:rPr>
        <w:t xml:space="preserve">L'approvazione è una sola, per policy e per database: non serve approvare ogni esecuzione. </w:t>
      </w:r>
      <w:r>
        <w:rPr>
          <w:sz w:val="21"/>
          <w:szCs w:val="21"/>
        </w:rPr>
        <w:t xml:space="preserve">Approvata una volta, il job notturno gira indefinitamente senza intervento umano. Serve una nuova approvazione solo quando cambia ciò che verrebbe cancellato.</w:t>
      </w:r>
    </w:p>
    <w:p>
      <w:pPr>
        <w:pStyle w:val="Heading3"/>
        <w:spacing w:after="100" w:before="200"/>
      </w:pPr>
      <w:r>
        <w:rPr>
          <w:b/>
          <w:bCs/>
          <w:color w:val="2E4570"/>
          <w:sz w:val="22"/>
          <w:szCs w:val="22"/>
        </w:rPr>
        <w:t xml:space="preserve">Che cosa si approva</w:t>
      </w:r>
    </w:p>
    <w:p>
      <w:pPr>
        <w:spacing w:after="140" w:line="276"/>
      </w:pPr>
      <w:r>
        <w:rPr>
          <w:sz w:val="21"/>
          <w:szCs w:val="21"/>
        </w:rPr>
        <w:t xml:space="preserve">Non un run, ma la regola. La policy è l'insieme dei parametri che determinano quali aggregati sono eleggibili, ridotti a un'impronta crittografica stabile: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700"/>
        <w:gridCol w:w="4700"/>
      </w:tblGrid>
      <w:tr>
        <w:trPr>
          <w:tblHeader/>
        </w:trPr>
        <w:tc>
          <w:tcPr>
            <w:tcW w:type="dxa" w:w="4700"/>
            <w:shd w:fill="E7ECF3" w:val="clear"/>
            <w:tcMar>
              <w:top w:type="dxa" w:w="70"/>
              <w:left w:type="dxa" w:w="110"/>
              <w:bottom w:type="dxa" w:w="70"/>
              <w:right w:type="dxa" w:w="110"/>
            </w:tcMar>
          </w:tcPr>
          <w:p>
            <w:pPr>
              <w:spacing w:after="0" w:line="250"/>
            </w:pPr>
            <w:r>
              <w:rPr>
                <w:b/>
                <w:bCs/>
                <w:sz w:val="19"/>
                <w:szCs w:val="19"/>
              </w:rPr>
              <w:t xml:space="preserve">Dentro l'impronta (fa decadere l'approvazione)</w:t>
            </w:r>
          </w:p>
        </w:tc>
        <w:tc>
          <w:tcPr>
            <w:tcW w:type="dxa" w:w="4700"/>
            <w:shd w:fill="E7ECF3" w:val="clear"/>
            <w:tcMar>
              <w:top w:type="dxa" w:w="70"/>
              <w:left w:type="dxa" w:w="110"/>
              <w:bottom w:type="dxa" w:w="70"/>
              <w:right w:type="dxa" w:w="110"/>
            </w:tcMar>
          </w:tcPr>
          <w:p>
            <w:pPr>
              <w:spacing w:after="0" w:line="250"/>
            </w:pPr>
            <w:r>
              <w:rPr>
                <w:b/>
                <w:bCs/>
                <w:sz w:val="19"/>
                <w:szCs w:val="19"/>
              </w:rPr>
              <w:t xml:space="preserve">Fuori dall'impronta (non la tocca)</w:t>
            </w:r>
          </w:p>
        </w:tc>
      </w:tr>
      <w:tr>
        <w:tc>
          <w:tcPr>
            <w:tcW w:type="dxa" w:w="4700"/>
            <w:tcMar>
              <w:top w:type="dxa" w:w="70"/>
              <w:left w:type="dxa" w:w="110"/>
              <w:bottom w:type="dxa" w:w="70"/>
              <w:right w:type="dxa" w:w="110"/>
            </w:tcMar>
          </w:tcPr>
          <w:p>
            <w:pPr>
              <w:spacing w:after="0" w:line="250"/>
            </w:pPr>
            <w:r>
              <w:rPr>
                <w:b w:val="false"/>
                <w:bCs w:val="false"/>
                <w:sz w:val="19"/>
                <w:szCs w:val="19"/>
              </w:rPr>
              <w:t xml:space="preserve">RetentionYears — anni di conservazione</w:t>
            </w:r>
          </w:p>
          <w:p>
            <w:pPr>
              <w:spacing w:after="0" w:line="250"/>
            </w:pPr>
            <w:r>
              <w:rPr>
                <w:b w:val="false"/>
                <w:bCs w:val="false"/>
                <w:sz w:val="19"/>
                <w:szCs w:val="19"/>
              </w:rPr>
              <w:t xml:space="preserve">AnchorMode — ancoraggio all'esercizio o alla data</w:t>
            </w:r>
          </w:p>
          <w:p>
            <w:pPr>
              <w:spacing w:after="0" w:line="250"/>
            </w:pPr>
            <w:r>
              <w:rPr>
                <w:b w:val="false"/>
                <w:bCs w:val="false"/>
                <w:sz w:val="19"/>
                <w:szCs w:val="19"/>
              </w:rPr>
              <w:t xml:space="preserve">Strategies — quali strategie sono attive</w:t>
            </w:r>
          </w:p>
          <w:p>
            <w:pPr>
              <w:spacing w:after="0" w:line="250"/>
            </w:pPr>
            <w:r>
              <w:rPr>
                <w:b w:val="false"/>
                <w:bCs w:val="false"/>
                <w:sz w:val="19"/>
                <w:szCs w:val="19"/>
              </w:rPr>
              <w:t xml:space="preserve">AbandonedEnabled — se gli abbandoni si cancellano</w:t>
            </w:r>
          </w:p>
          <w:p>
            <w:pPr>
              <w:spacing w:after="0" w:line="250"/>
            </w:pPr>
            <w:r>
              <w:rPr>
                <w:b w:val="false"/>
                <w:bCs w:val="false"/>
                <w:sz w:val="19"/>
                <w:szCs w:val="19"/>
              </w:rPr>
              <w:t xml:space="preserve">AbandonedRetentionMonths — la loro soglia</w:t>
            </w:r>
          </w:p>
        </w:tc>
        <w:tc>
          <w:tcPr>
            <w:tcW w:type="dxa" w:w="4700"/>
            <w:tcMar>
              <w:top w:type="dxa" w:w="70"/>
              <w:left w:type="dxa" w:w="110"/>
              <w:bottom w:type="dxa" w:w="70"/>
              <w:right w:type="dxa" w:w="110"/>
            </w:tcMar>
          </w:tcPr>
          <w:p>
            <w:pPr>
              <w:spacing w:after="0" w:line="250"/>
            </w:pPr>
            <w:r>
              <w:rPr>
                <w:b w:val="false"/>
                <w:bCs w:val="false"/>
                <w:sz w:val="19"/>
                <w:szCs w:val="19"/>
              </w:rPr>
              <w:t xml:space="preserve">MaxRowsPerBatch, MaxOrdersPerBatch — dimensione delle slice</w:t>
            </w:r>
          </w:p>
          <w:p>
            <w:pPr>
              <w:spacing w:after="0" w:line="250"/>
            </w:pPr>
            <w:r>
              <w:rPr>
                <w:b w:val="false"/>
                <w:bCs w:val="false"/>
                <w:sz w:val="19"/>
                <w:szCs w:val="19"/>
              </w:rPr>
              <w:t xml:space="preserve">SelectionBatchSize — righe lette per pagina</w:t>
            </w:r>
          </w:p>
          <w:p>
            <w:pPr>
              <w:spacing w:after="0" w:line="250"/>
            </w:pPr>
            <w:r>
              <w:rPr>
                <w:b w:val="false"/>
                <w:bCs w:val="false"/>
                <w:sz w:val="19"/>
                <w:szCs w:val="19"/>
              </w:rPr>
              <w:t xml:space="preserve">InterSliceDelay, RetryDelay — ritmo e ritentativi</w:t>
            </w:r>
          </w:p>
          <w:p>
            <w:pPr>
              <w:spacing w:after="0" w:line="250"/>
            </w:pPr>
            <w:r>
              <w:rPr>
                <w:b w:val="false"/>
                <w:bCs w:val="false"/>
                <w:sz w:val="19"/>
                <w:szCs w:val="19"/>
              </w:rPr>
              <w:t xml:space="preserve">WindowStart, WindowEnd — finestra oraria</w:t>
            </w:r>
          </w:p>
          <w:p>
            <w:pPr>
              <w:spacing w:after="0" w:line="250"/>
            </w:pPr>
            <w:r>
              <w:rPr>
                <w:b w:val="false"/>
                <w:bCs w:val="false"/>
                <w:sz w:val="19"/>
                <w:szCs w:val="19"/>
              </w:rPr>
              <w:t xml:space="preserve">MaxSplitDepth, MaxSliceAttempts — resilienza</w:t>
            </w:r>
          </w:p>
          <w:p>
            <w:pPr>
              <w:spacing w:after="0" w:line="250"/>
            </w:pPr>
            <w:r>
              <w:rPr>
                <w:b w:val="false"/>
                <w:bCs w:val="false"/>
                <w:sz w:val="19"/>
                <w:szCs w:val="19"/>
              </w:rPr>
              <w:t xml:space="preserve">StagingRetentionDays — pulizia dello staging</w:t>
            </w:r>
          </w:p>
        </w:tc>
      </w:tr>
    </w:tbl>
    <w:p>
      <w:pPr>
        <w:spacing w:after="140" w:line="276"/>
      </w:pPr>
      <w:r>
        <w:rPr>
          <w:sz w:val="21"/>
          <w:szCs w:val="21"/>
        </w:rPr>
        <w:t xml:space="preserve">La distinzione è deliberata e vale la pena capirla. I parametri di sinistra decidono cosa viene cancellato; quelli di destra decidono quanto lavoro si fa per volta. Se la dimensione delle slice facesse parte dell'impronta, tararla dopo il collaudo — cosa che va fatta di sicuro — invaliderebbe l'approvazione e bloccherebbe il job notturno per una modifica innocua. È così che un controllo di sicurezza perde credibilità e finisce disattivato.</w:t>
      </w:r>
    </w:p>
    <w:p>
      <w:pPr>
        <w:pStyle w:val="Heading3"/>
        <w:spacing w:after="100" w:before="200"/>
      </w:pPr>
      <w:r>
        <w:rPr>
          <w:b/>
          <w:bCs/>
          <w:color w:val="2E4570"/>
          <w:sz w:val="22"/>
          <w:szCs w:val="22"/>
        </w:rPr>
        <w:t xml:space="preserve">Come si ottiene</w:t>
      </w:r>
    </w:p>
    <w:p>
      <w:pPr>
        <w:spacing w:after="140" w:line="276"/>
      </w:pPr>
      <w:r>
        <w:rPr>
          <w:sz w:val="21"/>
          <w:szCs w:val="21"/>
        </w:rPr>
        <w:t xml:space="preserve">Il percorso ha tre attori e non è aggirabile: chi esegue produce la simulazione, chi risponde della conformità la esamina, il DBA concede il permesso tecnico.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        -&gt; annotare il RunId stampato all'avvio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2.  [ esame del report ]                     con Compliance / referente applicativo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3.  purge approve &lt;RunId&gt; --by "M. Rossi" --note "CR-1487"</w:t>
      </w:r>
    </w:p>
    <w:p>
      <w:pPr>
        <w:shd w:fill="F2F4F7" w:val="clear"/>
        <w:spacing w:after="0" w:line="240"/>
        <w:ind w:left="360"/>
      </w:pPr>
      <w:r>
        <w:rPr>
          <w:rFonts w:ascii="Consolas" w:cs="Consolas" w:eastAsia="Consolas" w:hAnsi="Consolas"/>
          <w:color w:val="20304A"/>
          <w:sz w:val="18"/>
          <w:szCs w:val="18"/>
        </w:rPr>
        <w:t xml:space="preserve">        -&gt; registra l'approvazione della policy su questo database</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4.  GRANT DELETE ON SCHEMA::PaymentOrder ... il DBA, solo ora</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Il comando di approvazione rifiuta, con un messaggio che dice quale delle quattro condizioni non è soddisfatta:</w:t>
      </w:r>
    </w:p>
    <w:p>
      <w:pPr>
        <w:pStyle w:val="ListParagraph"/>
        <w:numPr>
          <w:ilvl w:val="0"/>
          <w:numId w:val="2"/>
        </w:numPr>
        <w:spacing w:after="90" w:line="276"/>
      </w:pPr>
      <w:r>
        <w:rPr>
          <w:sz w:val="21"/>
          <w:szCs w:val="21"/>
        </w:rPr>
        <w:t xml:space="preserve">un identificativo di run inesistente su questo database;</w:t>
      </w:r>
    </w:p>
    <w:p>
      <w:pPr>
        <w:pStyle w:val="ListParagraph"/>
        <w:numPr>
          <w:ilvl w:val="0"/>
          <w:numId w:val="2"/>
        </w:numPr>
        <w:spacing w:after="90" w:line="276"/>
      </w:pPr>
      <w:r>
        <w:rPr>
          <w:sz w:val="21"/>
          <w:szCs w:val="21"/>
        </w:rPr>
        <w:t xml:space="preserve">un run che non è una simulazione — non si approva una cancellazione già avvenuta;</w:t>
      </w:r>
    </w:p>
    <w:p>
      <w:pPr>
        <w:pStyle w:val="ListParagraph"/>
        <w:numPr>
          <w:ilvl w:val="0"/>
          <w:numId w:val="2"/>
        </w:numPr>
        <w:spacing w:after="90" w:line="276"/>
      </w:pPr>
      <w:r>
        <w:rPr>
          <w:sz w:val="21"/>
          <w:szCs w:val="21"/>
        </w:rPr>
        <w:t xml:space="preserve">una simulazione non conclusa: non ha prodotto un report completo;</w:t>
      </w:r>
    </w:p>
    <w:p>
      <w:pPr>
        <w:pStyle w:val="ListParagraph"/>
        <w:numPr>
          <w:ilvl w:val="0"/>
          <w:numId w:val="2"/>
        </w:numPr>
        <w:spacing w:after="90" w:line="276"/>
      </w:pPr>
      <w:r>
        <w:rPr>
          <w:sz w:val="21"/>
          <w:szCs w:val="21"/>
        </w:rPr>
        <w:t xml:space="preserve">una simulazione girata con una policy diversa da quella configurata adesso. In questo caso stampa le due impronte a confronto: approvarla autorizzerebbe una cancellazione che nessuno ha esaminato.</w:t>
      </w:r>
    </w:p>
    <w:p>
      <w:pPr>
        <w:spacing w:after="140" w:line="276"/>
      </w:pPr>
      <w:r>
        <w:rPr>
          <w:sz w:val="21"/>
          <w:szCs w:val="21"/>
        </w:rPr>
        <w:t xml:space="preserve">Il nome di chi approva è obbligatorio: un'approvazione senza un nome non è un'approvazione. Il campo </w:t>
      </w:r>
      <w:r>
        <w:rPr>
          <w:rFonts w:ascii="Consolas" w:cs="Consolas" w:eastAsia="Consolas" w:hAnsi="Consolas"/>
          <w:color w:val="20304A"/>
          <w:sz w:val="21"/>
          <w:szCs w:val="21"/>
        </w:rPr>
        <w:t xml:space="preserve">--note</w:t>
      </w:r>
      <w:r>
        <w:rPr>
          <w:sz w:val="21"/>
          <w:szCs w:val="21"/>
        </w:rPr>
        <w:t xml:space="preserve"> è facoltativo ma andrebbe sempre valorizzato con il riferimento al documento che autorizza — verbale, ticket, richiesta di modifica: è ciò che collega la riga sul database alla decisione presa fuori.</w:t>
      </w:r>
    </w:p>
    <w:p>
      <w:pPr>
        <w:pStyle w:val="Heading3"/>
        <w:spacing w:after="100" w:before="200"/>
      </w:pPr>
      <w:r>
        <w:rPr>
          <w:b/>
          <w:bCs/>
          <w:color w:val="2E4570"/>
          <w:sz w:val="22"/>
          <w:szCs w:val="22"/>
        </w:rPr>
        <w:t xml:space="preserve">Che cosa viene registrato</w:t>
      </w:r>
    </w:p>
    <w:p>
      <w:pPr>
        <w:spacing w:after="140" w:line="276"/>
      </w:pPr>
      <w:r>
        <w:rPr>
          <w:sz w:val="21"/>
          <w:szCs w:val="21"/>
        </w:rPr>
        <w:t xml:space="preserve">Una riga in Purge.PolicyApproval, con chiave l'impronta della policy: impronta, identificativo del dry-run di riferimento, data e ora, nome di chi approva, descrizione leggibile della policy e la nota. La descrizione è in chiaro proprio perché chi legge l'audit non deve interpretare un'impronta esadecimale:</w:t>
      </w:r>
    </w:p>
    <w:p>
      <w:pPr>
        <w:shd w:fill="F2F4F7" w:val="clear"/>
        <w:spacing w:after="0" w:line="240"/>
        <w:ind w:left="360"/>
      </w:pPr>
      <w:r>
        <w:rPr>
          <w:rFonts w:ascii="Consolas" w:cs="Consolas" w:eastAsia="Consolas" w:hAnsi="Consolas"/>
          <w:color w:val="20304A"/>
          <w:sz w:val="18"/>
          <w:szCs w:val="18"/>
        </w:rPr>
        <w:t xml:space="preserve">Retention=5 anni, Ancoraggio=FiscalYearEnd, Abbandonati=disattivi,</w:t>
      </w:r>
    </w:p>
    <w:p>
      <w:pPr>
        <w:shd w:fill="F2F4F7" w:val="clear"/>
        <w:spacing w:after="160" w:line="240"/>
        <w:ind w:left="360"/>
      </w:pPr>
      <w:r>
        <w:rPr>
          <w:rFonts w:ascii="Consolas" w:cs="Consolas" w:eastAsia="Consolas" w:hAnsi="Consolas"/>
          <w:color w:val="20304A"/>
          <w:sz w:val="18"/>
          <w:szCs w:val="18"/>
        </w:rPr>
        <w:t xml:space="preserve">Strategie=[Terminated, StandingOrders, Collective, OrphanHistory]</w:t>
      </w:r>
    </w:p>
    <w:p>
      <w:pPr>
        <w:pStyle w:val="Heading3"/>
        <w:spacing w:after="100" w:before="200"/>
      </w:pPr>
      <w:r>
        <w:rPr>
          <w:b/>
          <w:bCs/>
          <w:color w:val="2E4570"/>
          <w:sz w:val="22"/>
          <w:szCs w:val="22"/>
        </w:rPr>
        <w:t xml:space="preserve">Come viene verificata, a ogni esecuzione</w:t>
      </w:r>
    </w:p>
    <w:p>
      <w:pPr>
        <w:spacing w:after="140" w:line="276"/>
      </w:pPr>
      <w:r>
        <w:rPr>
          <w:sz w:val="21"/>
          <w:szCs w:val="21"/>
        </w:rPr>
        <w:t xml:space="preserve">Prima di ogni esecuzione reale — non solo la prima — il motore ricalcola l'impronta della configurazione corrente e cerca una riga di approvazione che le corrisponda. Se non la trova, rifiuta di partire, registra il motivo nel log ed esce con un codice diverso da zero: un purge che non parte in silenzio sembrerebbe riuscito, ed è il modo peggiore di fallire.</w:t>
      </w:r>
    </w:p>
    <w:p>
      <w:pPr>
        <w:spacing w:after="140" w:line="276"/>
      </w:pPr>
      <w:r>
        <w:rPr>
          <w:sz w:val="21"/>
          <w:szCs w:val="21"/>
        </w:rPr>
        <w:t xml:space="preserve">Il controllo sta nei punti di ingresso — riga di comando e scheduler — e non nell'orchestratore. Così i test di integrazione non hanno bisogno di aggirarlo: un aggiramento nei test è il primo passo verso un aggiramento in produzione.</w:t>
      </w:r>
    </w:p>
    <w:p>
      <w:pPr>
        <w:pBdr>
          <w:left w:val="single" w:color="8FA3C0" w:sz="18" w:space="12"/>
        </w:pBdr>
        <w:spacing w:after="180" w:before="60" w:line="276"/>
        <w:ind w:left="360"/>
      </w:pPr>
      <w:r>
        <w:rPr>
          <w:color w:val="44506B"/>
          <w:sz w:val="20"/>
          <w:szCs w:val="20"/>
        </w:rPr>
        <w:t xml:space="preserve">La simulazione non richiede approvazione: non cancella nulla, e chiederla renderebbe impossibile produrre il report da approvare.</w:t>
      </w:r>
    </w:p>
    <w:p>
      <w:pPr>
        <w:pStyle w:val="Heading3"/>
        <w:spacing w:after="100" w:before="200"/>
      </w:pPr>
      <w:r>
        <w:rPr>
          <w:b/>
          <w:bCs/>
          <w:color w:val="2E4570"/>
          <w:sz w:val="22"/>
          <w:szCs w:val="22"/>
        </w:rPr>
        <w:t xml:space="preserve">Quando l'approvazione decade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1500"/>
        <w:gridCol w:w="43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Evento</w:t>
            </w:r>
          </w:p>
        </w:tc>
        <w:tc>
          <w:tcPr>
            <w:tcW w:type="dxa" w:w="1500"/>
            <w:shd w:fill="E7ECF3" w:val="clear"/>
            <w:tcMar>
              <w:top w:type="dxa" w:w="70"/>
              <w:left w:type="dxa" w:w="110"/>
              <w:bottom w:type="dxa" w:w="70"/>
              <w:right w:type="dxa" w:w="110"/>
            </w:tcMar>
          </w:tcPr>
          <w:p>
            <w:pPr>
              <w:spacing w:after="0" w:line="250"/>
            </w:pPr>
            <w:r>
              <w:rPr>
                <w:b/>
                <w:bCs/>
                <w:sz w:val="19"/>
                <w:szCs w:val="19"/>
              </w:rPr>
              <w:t xml:space="preserve">Serve riapprovare?</w:t>
            </w:r>
          </w:p>
        </w:tc>
        <w:tc>
          <w:tcPr>
            <w:tcW w:type="dxa" w:w="4300"/>
            <w:shd w:fill="E7ECF3" w:val="clear"/>
            <w:tcMar>
              <w:top w:type="dxa" w:w="70"/>
              <w:left w:type="dxa" w:w="110"/>
              <w:bottom w:type="dxa" w:w="70"/>
              <w:right w:type="dxa" w:w="110"/>
            </w:tcMar>
          </w:tcPr>
          <w:p>
            <w:pPr>
              <w:spacing w:after="0" w:line="250"/>
            </w:pPr>
            <w:r>
              <w:rPr>
                <w:b/>
                <w:bCs/>
                <w:sz w:val="19"/>
                <w:szCs w:val="19"/>
              </w:rPr>
              <w:t xml:space="preserve">Perché</w:t>
            </w:r>
          </w:p>
        </w:tc>
      </w:tr>
      <w:tr>
        <w:tc>
          <w:tcPr>
            <w:tcW w:type="dxa" w:w="3600"/>
            <w:tcMar>
              <w:top w:type="dxa" w:w="70"/>
              <w:left w:type="dxa" w:w="110"/>
              <w:bottom w:type="dxa" w:w="70"/>
              <w:right w:type="dxa" w:w="110"/>
            </w:tcMar>
          </w:tcPr>
          <w:p>
            <w:pPr>
              <w:spacing w:after="0" w:line="250"/>
            </w:pPr>
            <w:r>
              <w:rPr>
                <w:b w:val="false"/>
                <w:bCs w:val="false"/>
                <w:sz w:val="19"/>
                <w:szCs w:val="19"/>
              </w:rPr>
              <w:t xml:space="preserve">Passa una notte, un mese, un anno</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La policy non è cambiata: il job gira senza intervento.</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La soglia si sposta al 1° gennaio</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È cambiato il calendario, non la regola. Con ancoraggio all'esercizio, un anno in più diventa eleggibile: è il comportamento approvato.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tara la dimensione delle slice o la finestra oraria</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Parametri operativi, fuori dall'impronta.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Da 5 a 7 anni di retention</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Cambia il perimetro di ciò che si conserva.</w:t>
            </w:r>
          </w:p>
        </w:tc>
      </w:tr>
      <w:tr>
        <w:tc>
          <w:tcPr>
            <w:tcW w:type="dxa" w:w="3600"/>
            <w:tcMar>
              <w:top w:type="dxa" w:w="70"/>
              <w:left w:type="dxa" w:w="110"/>
              <w:bottom w:type="dxa" w:w="70"/>
              <w:right w:type="dxa" w:w="110"/>
            </w:tcMar>
          </w:tcPr>
          <w:p>
            <w:pPr>
              <w:spacing w:after="0" w:line="250"/>
            </w:pPr>
            <w:r>
              <w:rPr>
                <w:b w:val="false"/>
                <w:bCs w:val="false"/>
                <w:sz w:val="19"/>
                <w:szCs w:val="19"/>
              </w:rPr>
              <w:t xml:space="preserve">Da FiscalYearEnd a RollingDate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Cambia il criterio di anzianità.</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attiva una strategia (per esempio Abandoned)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Entra in gioco una categoria di dati che nessuno ha esaminato.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disattiva una strategia</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L'impronta comprende l'elenco: cambia comunque, ed è corretto che qualcuno lo veda.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aggiorna il software senza toccare la policy</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L'approvazione vive nel database, non nel codice.</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esegue su un altro database (collaudo, nuovo ambiente)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L'approvazione non viaggia con il codice: là la tabella è vuota e va esaminato un dry-run prodotto su quei dati.</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ripristina il database da un backup precedente all'approvazione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 riga di approvazione è stata ripristinata via con il resto.</w:t>
            </w:r>
          </w:p>
        </w:tc>
      </w:tr>
    </w:tbl>
    <w:p>
      <w:pPr>
        <w:spacing w:after="140" w:line="276"/>
      </w:pPr>
      <w:r>
        <w:rPr>
          <w:sz w:val="21"/>
          <w:szCs w:val="21"/>
        </w:rPr>
        <w:t xml:space="preserve">Una policy approvata in passato e poi abbandonata resta registrata: tornare alla configurazione precedente riattiva l'approvazione originale, con il nome e la data di allora. È coerente — quella regola era stata esaminata — ma va saputo, perché significa che la riga più recente in tabella non è necessariamente quella in vigore. La policy in vigore è quella che corrisponde alla configurazione corrente.</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Come si avvia l'applicazione</w:t>
      </w:r>
    </w:p>
    <w:p>
      <w:pPr>
        <w:spacing w:after="140" w:line="276"/>
      </w:pPr>
      <w:r>
        <w:rPr>
          <w:sz w:val="21"/>
          <w:szCs w:val="21"/>
        </w:rPr>
        <w:t xml:space="preserve">Il motore è un eseguibile a riga di comando. In produzione si usa la versione pubblicata; in sviluppo si può lanciare dal repository.</w:t>
      </w:r>
    </w:p>
    <w:p>
      <w:pPr>
        <w:shd w:fill="F2F4F7" w:val="clear"/>
        <w:spacing w:after="0" w:line="240"/>
        <w:ind w:left="360"/>
      </w:pPr>
      <w:r>
        <w:rPr>
          <w:rFonts w:ascii="Consolas" w:cs="Consolas" w:eastAsia="Consolas" w:hAnsi="Consolas"/>
          <w:color w:val="20304A"/>
          <w:sz w:val="18"/>
          <w:szCs w:val="18"/>
        </w:rPr>
        <w:t xml:space="preserve"># produzione (artefatto pubblicato)</w:t>
      </w:r>
    </w:p>
    <w:p>
      <w:pPr>
        <w:shd w:fill="F2F4F7" w:val="clear"/>
        <w:spacing w:after="0" w:line="240"/>
        <w:ind w:left="360"/>
      </w:pPr>
      <w:r>
        <w:rPr>
          <w:rFonts w:ascii="Consolas" w:cs="Consolas" w:eastAsia="Consolas" w:hAnsi="Consolas"/>
          <w:color w:val="20304A"/>
          <w:sz w:val="18"/>
          <w:szCs w:val="18"/>
        </w:rPr>
        <w:t xml:space="preserve">dotnet publish -c Release src/OSM.PaymentOrder.Purge.Host -o /opt/purge</w:t>
      </w:r>
    </w:p>
    <w:p>
      <w:pPr>
        <w:shd w:fill="F2F4F7" w:val="clear"/>
        <w:spacing w:after="0" w:line="240"/>
        <w:ind w:left="360"/>
      </w:pPr>
      <w:r>
        <w:rPr>
          <w:rFonts w:ascii="Consolas" w:cs="Consolas" w:eastAsia="Consolas" w:hAnsi="Consolas"/>
          <w:color w:val="20304A"/>
          <w:sz w:val="18"/>
          <w:szCs w:val="18"/>
        </w:rPr>
        <w:t xml:space="preserve">/opt/purge/OSM.PaymentOrder.Purge.Host once --dry-run</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 sviluppo (dal repository)</w:t>
      </w:r>
    </w:p>
    <w:p>
      <w:pPr>
        <w:shd w:fill="F2F4F7" w:val="clear"/>
        <w:spacing w:after="160" w:line="240"/>
        <w:ind w:left="360"/>
      </w:pPr>
      <w:r>
        <w:rPr>
          <w:rFonts w:ascii="Consolas" w:cs="Consolas" w:eastAsia="Consolas" w:hAnsi="Consolas"/>
          <w:color w:val="20304A"/>
          <w:sz w:val="18"/>
          <w:szCs w:val="18"/>
        </w:rPr>
        <w:t xml:space="preserve">dotnet run --project src/OSM.PaymentOrder.Purge.Host -- once --dry-run</w:t>
      </w:r>
    </w:p>
    <w:p>
      <w:pPr>
        <w:spacing w:after="140" w:line="276"/>
      </w:pPr>
      <w:r>
        <w:rPr>
          <w:sz w:val="21"/>
          <w:szCs w:val="21"/>
        </w:rPr>
        <w:t xml:space="preserve">Negli esempi che seguono </w:t>
      </w:r>
      <w:r>
        <w:rPr>
          <w:rFonts w:ascii="Consolas" w:cs="Consolas" w:eastAsia="Consolas" w:hAnsi="Consolas"/>
          <w:color w:val="20304A"/>
          <w:sz w:val="21"/>
          <w:szCs w:val="21"/>
        </w:rPr>
        <w:t xml:space="preserve">purge</w:t>
      </w:r>
      <w:r>
        <w:rPr>
          <w:sz w:val="21"/>
          <w:szCs w:val="21"/>
        </w:rPr>
        <w:t xml:space="preserve"> sta per l'eseguibile pubblicato, o per </w:t>
      </w:r>
      <w:r>
        <w:rPr>
          <w:rFonts w:ascii="Consolas" w:cs="Consolas" w:eastAsia="Consolas" w:hAnsi="Consolas"/>
          <w:color w:val="20304A"/>
          <w:sz w:val="21"/>
          <w:szCs w:val="21"/>
        </w:rPr>
        <w:t xml:space="preserve">dotnet run --project ... --</w:t>
      </w:r>
      <w:r>
        <w:rPr>
          <w:sz w:val="21"/>
          <w:szCs w:val="21"/>
        </w:rPr>
        <w:t xml:space="preserve">: tutto ciò che segue è identico nei due casi.</w:t>
      </w:r>
    </w:p>
    <w:p>
      <w:pPr>
        <w:pBdr>
          <w:left w:val="single" w:color="8FA3C0" w:sz="18" w:space="12"/>
        </w:pBdr>
        <w:spacing w:after="180" w:before="60" w:line="276"/>
        <w:ind w:left="360"/>
      </w:pPr>
      <w:r>
        <w:rPr>
          <w:color w:val="44506B"/>
          <w:sz w:val="20"/>
          <w:szCs w:val="20"/>
        </w:rPr>
        <w:t xml:space="preserve">Il processo legge appsettings.json dalla cartella dell'eseguibile, non dalla cartella corrente. Un lancio da un'altra directory funziona; un eseguibile copiato altrove senza il suo appsettings no.</w:t>
      </w:r>
    </w:p>
    <w:p>
      <w:pPr>
        <w:pStyle w:val="Heading3"/>
        <w:spacing w:after="100" w:before="200"/>
      </w:pPr>
      <w:r>
        <w:rPr>
          <w:b/>
          <w:bCs/>
          <w:color w:val="2E4570"/>
          <w:sz w:val="22"/>
          <w:szCs w:val="22"/>
        </w:rPr>
        <w:t xml:space="preserve">Configurazione</w:t>
      </w:r>
    </w:p>
    <w:p>
      <w:pPr>
        <w:spacing w:after="140" w:line="276"/>
      </w:pPr>
      <w:r>
        <w:rPr>
          <w:sz w:val="21"/>
          <w:szCs w:val="21"/>
        </w:rPr>
        <w:t xml:space="preserve">I parametri arrivano da tre fonti, in ordine di precedenza crescente: appsettings.json accanto all'eseguibile, appsettings.&lt;Ambiente&gt;.json, variabili d'ambiente. In produzione la stringa di connessione va nelle variabili, non nel file.</w:t>
      </w:r>
    </w:p>
    <w:p>
      <w:pPr>
        <w:spacing w:after="140" w:line="276"/>
      </w:pPr>
      <w:r>
        <w:rPr>
          <w:sz w:val="21"/>
          <w:szCs w:val="21"/>
        </w:rPr>
        <w:t xml:space="preserve">Le variabili usano il prefisso PURGE_ e il doppio underscore come separatore di livello:</w:t>
      </w:r>
    </w:p>
    <w:p>
      <w:pPr>
        <w:shd w:fill="F2F4F7" w:val="clear"/>
        <w:spacing w:after="0" w:line="240"/>
        <w:ind w:left="360"/>
      </w:pPr>
      <w:r>
        <w:rPr>
          <w:rFonts w:ascii="Consolas" w:cs="Consolas" w:eastAsia="Consolas" w:hAnsi="Consolas"/>
          <w:color w:val="20304A"/>
          <w:sz w:val="18"/>
          <w:szCs w:val="18"/>
        </w:rPr>
        <w:t xml:space="preserve">PURGE_ConnectionStrings__PaymentOrder=Server=host,1433;Database=...;User Id=...;Password=...;Encrypt=true</w:t>
      </w:r>
    </w:p>
    <w:p>
      <w:pPr>
        <w:shd w:fill="F2F4F7" w:val="clear"/>
        <w:spacing w:after="0" w:line="240"/>
        <w:ind w:left="360"/>
      </w:pPr>
      <w:r>
        <w:rPr>
          <w:rFonts w:ascii="Consolas" w:cs="Consolas" w:eastAsia="Consolas" w:hAnsi="Consolas"/>
          <w:color w:val="20304A"/>
          <w:sz w:val="18"/>
          <w:szCs w:val="18"/>
        </w:rPr>
        <w:t xml:space="preserve">PURGE_Purge__RetentionYears=5</w:t>
      </w:r>
    </w:p>
    <w:p>
      <w:pPr>
        <w:shd w:fill="F2F4F7" w:val="clear"/>
        <w:spacing w:after="0" w:line="240"/>
        <w:ind w:left="360"/>
      </w:pPr>
      <w:r>
        <w:rPr>
          <w:rFonts w:ascii="Consolas" w:cs="Consolas" w:eastAsia="Consolas" w:hAnsi="Consolas"/>
          <w:color w:val="20304A"/>
          <w:sz w:val="18"/>
          <w:szCs w:val="18"/>
        </w:rPr>
        <w:t xml:space="preserve">PURGE_Purge__AnchorMode=FiscalYearEnd</w:t>
      </w:r>
    </w:p>
    <w:p>
      <w:pPr>
        <w:shd w:fill="F2F4F7" w:val="clear"/>
        <w:spacing w:after="0" w:line="240"/>
        <w:ind w:left="360"/>
      </w:pPr>
      <w:r>
        <w:rPr>
          <w:rFonts w:ascii="Consolas" w:cs="Consolas" w:eastAsia="Consolas" w:hAnsi="Consolas"/>
          <w:color w:val="20304A"/>
          <w:sz w:val="18"/>
          <w:szCs w:val="18"/>
        </w:rPr>
        <w:t xml:space="preserve">PURGE_Purge__WindowStart=01:00</w:t>
      </w:r>
    </w:p>
    <w:p>
      <w:pPr>
        <w:shd w:fill="F2F4F7" w:val="clear"/>
        <w:spacing w:after="160" w:line="240"/>
        <w:ind w:left="360"/>
      </w:pPr>
      <w:r>
        <w:rPr>
          <w:rFonts w:ascii="Consolas" w:cs="Consolas" w:eastAsia="Consolas" w:hAnsi="Consolas"/>
          <w:color w:val="20304A"/>
          <w:sz w:val="18"/>
          <w:szCs w:val="18"/>
        </w:rPr>
        <w:t xml:space="preserve">PURGE_Purge__WindowEnd=05:00</w:t>
      </w:r>
    </w:p>
    <w:p>
      <w:pPr>
        <w:spacing w:after="140" w:line="276"/>
      </w:pPr>
      <w:r>
        <w:rPr>
          <w:b w:val="1"/>
          <w:bCs w:val="1"/>
          <w:sz w:val="21"/>
          <w:szCs w:val="21"/>
        </w:rPr>
        <w:t xml:space="preserve">La modalità non è configurabile. </w:t>
      </w:r>
      <w:r>
        <w:rPr>
          <w:sz w:val="21"/>
          <w:szCs w:val="21"/>
        </w:rPr>
        <w:t xml:space="preserve">Non esistono variabili PURGE_DRY_RUN o PURGE_DELETE: la scelta fra simulazione e cancellazione è una proprietà del comando, non dell'ambiente in cui gira (§9.1, livello 2). Senza modalità il comando non esegue nulla ed esce con codice 2.</w:t>
      </w:r>
    </w:p>
    <w:p>
      <w:pPr>
        <w:pStyle w:val="Heading2"/>
        <w:spacing w:after="120" w:before="260"/>
      </w:pPr>
      <w:r>
        <w:rPr>
          <w:b/>
          <w:bCs/>
          <w:color w:val="1F3864"/>
          <w:sz w:val="24"/>
          <w:szCs w:val="24"/>
        </w:rPr>
        <w:t xml:space="preserve">10.3 Le due modalità di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2500"/>
        <w:gridCol w:w="48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Modalità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Come si avvia</w:t>
            </w:r>
          </w:p>
        </w:tc>
        <w:tc>
          <w:tcPr>
            <w:tcW w:type="dxa" w:w="4800"/>
            <w:shd w:fill="E7ECF3" w:val="clear"/>
            <w:tcMar>
              <w:top w:type="dxa" w:w="70"/>
              <w:left w:type="dxa" w:w="110"/>
              <w:bottom w:type="dxa" w:w="70"/>
              <w:right w:type="dxa" w:w="110"/>
            </w:tcMar>
          </w:tcPr>
          <w:p>
            <w:pPr>
              <w:spacing w:after="0" w:line="250"/>
            </w:pPr>
            <w:r>
              <w:rPr>
                <w:b/>
                <w:bCs/>
                <w:sz w:val="19"/>
                <w:szCs w:val="19"/>
              </w:rPr>
              <w:t xml:space="preserve">Comportamento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Esecuzione singola</w:t>
            </w:r>
          </w:p>
        </w:tc>
        <w:tc>
          <w:tcPr>
            <w:tcW w:type="dxa" w:w="2500"/>
            <w:tcMar>
              <w:top w:type="dxa" w:w="70"/>
              <w:left w:type="dxa" w:w="110"/>
              <w:bottom w:type="dxa" w:w="70"/>
              <w:right w:type="dxa" w:w="110"/>
            </w:tcMar>
          </w:tcPr>
          <w:p>
            <w:pPr>
              <w:spacing w:after="0" w:line="250"/>
            </w:pPr>
            <w:r>
              <w:rPr>
                <w:b w:val="false"/>
                <w:bCs w:val="false"/>
                <w:sz w:val="19"/>
                <w:szCs w:val="19"/>
              </w:rPr>
              <w:t xml:space="preserve">purge once …</w:t>
            </w:r>
          </w:p>
        </w:tc>
        <w:tc>
          <w:tcPr>
            <w:tcW w:type="dxa" w:w="4800"/>
            <w:tcMar>
              <w:top w:type="dxa" w:w="70"/>
              <w:left w:type="dxa" w:w="110"/>
              <w:bottom w:type="dxa" w:w="70"/>
              <w:right w:type="dxa" w:w="110"/>
            </w:tcMar>
          </w:tcPr>
          <w:p>
            <w:pPr>
              <w:spacing w:after="0" w:line="250"/>
            </w:pPr>
            <w:r>
              <w:rPr>
                <w:b w:val="false"/>
                <w:bCs w:val="false"/>
                <w:sz w:val="19"/>
                <w:szCs w:val="19"/>
              </w:rPr>
              <w:t xml:space="preserve">Esegue una volta e termina, restituendo un codice di uscita. È la modalità pensata per uno scheduler esterno (UC4, cron, Task Scheduler), che decide quando eseguire e raccoglie l'esito.</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Servizio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  (senza argomenti)</w:t>
            </w:r>
          </w:p>
        </w:tc>
        <w:tc>
          <w:tcPr>
            <w:tcW w:type="dxa" w:w="4800"/>
            <w:shd w:fill="F5F7FA" w:val="clear"/>
            <w:tcMar>
              <w:top w:type="dxa" w:w="70"/>
              <w:left w:type="dxa" w:w="110"/>
              <w:bottom w:type="dxa" w:w="70"/>
              <w:right w:type="dxa" w:w="110"/>
            </w:tcMar>
          </w:tcPr>
          <w:p>
            <w:pPr>
              <w:spacing w:after="0" w:line="250"/>
            </w:pPr>
            <w:r>
              <w:rPr>
                <w:b w:val="false"/>
                <w:bCs w:val="false"/>
                <w:sz w:val="19"/>
                <w:szCs w:val="19"/>
              </w:rPr>
              <w:t xml:space="preserve">Resta in esecuzione e si autopianifica secondo CronExpression. È dry-run per costruzione: non può cancellare. Chiedere --delete in questa modalità viene rifiutato, non degradato in silenzio a simulazione.</w:t>
            </w:r>
          </w:p>
        </w:tc>
      </w:tr>
    </w:tbl>
    <w:p>
      <w:pPr>
        <w:pBdr>
          <w:left w:val="single" w:color="8FA3C0" w:sz="18" w:space="12"/>
        </w:pBdr>
        <w:spacing w:after="180" w:before="60" w:line="276"/>
        <w:ind w:left="360"/>
      </w:pPr>
      <w:r>
        <w:rPr>
          <w:color w:val="44506B"/>
          <w:sz w:val="20"/>
          <w:szCs w:val="20"/>
        </w:rPr>
        <w:t xml:space="preserve">La finestra oraria vale in entrambe le modalità, anche nell'esecuzione singola. Non è ridondante: lo scheduler decide quando partire, ma solo la finestra decide quando fermarsi. Un avvio fuori finestra esce con codice 4 senza fare nulla, e il log segnala che pianificazione e finestra configurata non concordano.</w:t>
      </w:r>
    </w:p>
    <w:p>
      <w:pPr>
        <w:pStyle w:val="Heading2"/>
        <w:spacing w:after="120" w:before="260"/>
      </w:pPr>
      <w:r>
        <w:rPr>
          <w:b/>
          <w:bCs/>
          <w:color w:val="1F3864"/>
          <w:sz w:val="24"/>
          <w:szCs w:val="24"/>
        </w:rPr>
        <w:t xml:space="preserve">10.4 I comandi, uno per uno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200"/>
        <w:gridCol w:w="5200"/>
      </w:tblGrid>
      <w:tr>
        <w:trPr>
          <w:tblHeader/>
        </w:trPr>
        <w:tc>
          <w:tcPr>
            <w:tcW w:type="dxa" w:w="42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2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w:t>
            </w:r>
          </w:p>
        </w:tc>
        <w:tc>
          <w:tcPr>
            <w:tcW w:type="dxa" w:w="5200"/>
            <w:tcMar>
              <w:top w:type="dxa" w:w="70"/>
              <w:left w:type="dxa" w:w="110"/>
              <w:bottom w:type="dxa" w:w="70"/>
              <w:right w:type="dxa" w:w="110"/>
            </w:tcMar>
          </w:tcPr>
          <w:p>
            <w:pPr>
              <w:spacing w:after="0" w:line="250"/>
            </w:pPr>
            <w:r>
              <w:rPr>
                <w:b w:val="false"/>
                <w:bCs w:val="false"/>
                <w:sz w:val="19"/>
                <w:szCs w:val="19"/>
              </w:rPr>
              <w:t xml:space="preserve">Applica gli script di schema mancanti. Richiede permessi DDL.</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Elenca cosa manca senza applicare nulla. Esce con 0 se allineato, 5 altrimenti: utilizzabile come controllo automatico.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w:t>
            </w:r>
          </w:p>
        </w:tc>
        <w:tc>
          <w:tcPr>
            <w:tcW w:type="dxa" w:w="5200"/>
            <w:tcMar>
              <w:top w:type="dxa" w:w="70"/>
              <w:left w:type="dxa" w:w="110"/>
              <w:bottom w:type="dxa" w:w="70"/>
              <w:right w:type="dxa" w:w="110"/>
            </w:tcMar>
          </w:tcPr>
          <w:p>
            <w:pPr>
              <w:spacing w:after="0" w:line="250"/>
            </w:pPr>
            <w:r>
              <w:rPr>
                <w:b w:val="false"/>
                <w:bCs w:val="false"/>
                <w:sz w:val="19"/>
                <w:szCs w:val="19"/>
              </w:rPr>
              <w:t xml:space="preserve">Simula tutte le strategie configurate. Nessuna cancellazione, produce il report.</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 Terminated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Simula una sola strategia.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 [--note &lt;rif&gt;]</w:t>
            </w:r>
          </w:p>
        </w:tc>
        <w:tc>
          <w:tcPr>
            <w:tcW w:type="dxa" w:w="5200"/>
            <w:tcMar>
              <w:top w:type="dxa" w:w="70"/>
              <w:left w:type="dxa" w:w="110"/>
              <w:bottom w:type="dxa" w:w="70"/>
              <w:right w:type="dxa" w:w="110"/>
            </w:tcMar>
          </w:tcPr>
          <w:p>
            <w:pPr>
              <w:spacing w:after="0" w:line="250"/>
            </w:pPr>
            <w:r>
              <w:rPr>
                <w:b w:val="false"/>
                <w:bCs w:val="false"/>
                <w:sz w:val="19"/>
                <w:szCs w:val="19"/>
              </w:rPr>
              <w:t xml:space="preserve">Registra l'approvazione della policy sotto cui è girato quel dry-run.</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tutte le strategie configurate.</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OrphanHistory</w:t>
            </w:r>
          </w:p>
        </w:tc>
        <w:tc>
          <w:tcPr>
            <w:tcW w:type="dxa" w:w="5200"/>
            <w:tcMar>
              <w:top w:type="dxa" w:w="70"/>
              <w:left w:type="dxa" w:w="110"/>
              <w:bottom w:type="dxa" w:w="70"/>
              <w:right w:type="dxa" w:w="110"/>
            </w:tcMar>
          </w:tcPr>
          <w:p>
            <w:pPr>
              <w:spacing w:after="0" w:line="250"/>
            </w:pPr>
            <w:r>
              <w:rPr>
                <w:b w:val="false"/>
                <w:bCs w:val="false"/>
                <w:sz w:val="19"/>
                <w:szCs w:val="19"/>
              </w:rPr>
              <w:t xml:space="preserve">Esecuzione reale di una sola strategia.</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--no-window</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senza il limite di fine finestra.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200"/>
            <w:tcMar>
              <w:top w:type="dxa" w:w="70"/>
              <w:left w:type="dxa" w:w="110"/>
              <w:bottom w:type="dxa" w:w="70"/>
              <w:right w:type="dxa" w:w="110"/>
            </w:tcMar>
          </w:tcPr>
          <w:p>
            <w:pPr>
              <w:spacing w:after="0" w:line="250"/>
            </w:pPr>
            <w:r>
              <w:rPr>
                <w:b w:val="false"/>
                <w:bCs w:val="false"/>
                <w:sz w:val="19"/>
                <w:szCs w:val="19"/>
              </w:rPr>
              <w:t xml:space="preserve">Servizio con pianificazione interna, in sola simulazione.</w:t>
            </w:r>
          </w:p>
        </w:tc>
      </w:tr>
    </w:tbl>
    <w:p>
      <w:pPr>
        <w:spacing w:after="140" w:line="276"/>
      </w:pPr>
      <w:r>
        <w:rPr>
          <w:sz w:val="21"/>
          <w:szCs w:val="21"/>
        </w:rPr>
        <w:t xml:space="preserve">Il nome della strategia, quando presente, va subito dopo la modalità e non distingue maiuscole e minuscole. I valori ammessi sono </w:t>
      </w:r>
      <w:r>
        <w:rPr>
          <w:rFonts w:ascii="Consolas" w:cs="Consolas" w:eastAsia="Consolas" w:hAnsi="Consolas"/>
          <w:color w:val="20304A"/>
          <w:sz w:val="21"/>
          <w:szCs w:val="21"/>
        </w:rPr>
        <w:t xml:space="preserve">Terminated</w:t>
      </w:r>
      <w:r>
        <w:rPr>
          <w:sz w:val="21"/>
          <w:szCs w:val="21"/>
        </w:rPr>
        <w:t xml:space="preserve">, </w:t>
      </w:r>
      <w:r>
        <w:rPr>
          <w:rFonts w:ascii="Consolas" w:cs="Consolas" w:eastAsia="Consolas" w:hAnsi="Consolas"/>
          <w:color w:val="20304A"/>
          <w:sz w:val="21"/>
          <w:szCs w:val="21"/>
        </w:rPr>
        <w:t xml:space="preserve">StandingOrders</w:t>
      </w:r>
      <w:r>
        <w:rPr>
          <w:sz w:val="21"/>
          <w:szCs w:val="21"/>
        </w:rPr>
        <w:t xml:space="preserve">, </w:t>
      </w:r>
      <w:r>
        <w:rPr>
          <w:rFonts w:ascii="Consolas" w:cs="Consolas" w:eastAsia="Consolas" w:hAnsi="Consolas"/>
          <w:color w:val="20304A"/>
          <w:sz w:val="21"/>
          <w:szCs w:val="21"/>
        </w:rPr>
        <w:t xml:space="preserve">Collective</w:t>
      </w:r>
      <w:r>
        <w:rPr>
          <w:sz w:val="21"/>
          <w:szCs w:val="21"/>
        </w:rPr>
        <w:t xml:space="preserve">, </w:t>
      </w:r>
      <w:r>
        <w:rPr>
          <w:rFonts w:ascii="Consolas" w:cs="Consolas" w:eastAsia="Consolas" w:hAnsi="Consolas"/>
          <w:color w:val="20304A"/>
          <w:sz w:val="21"/>
          <w:szCs w:val="21"/>
        </w:rPr>
        <w:t xml:space="preserve">OrphanHistory</w:t>
      </w:r>
      <w:r>
        <w:rPr>
          <w:sz w:val="21"/>
          <w:szCs w:val="21"/>
        </w:rPr>
        <w:t xml:space="preserve">, </w:t>
      </w:r>
      <w:r>
        <w:rPr>
          <w:rFonts w:ascii="Consolas" w:cs="Consolas" w:eastAsia="Consolas" w:hAnsi="Consolas"/>
          <w:color w:val="20304A"/>
          <w:sz w:val="21"/>
          <w:szCs w:val="21"/>
        </w:rPr>
        <w:t xml:space="preserve">Abandoned</w:t>
      </w:r>
      <w:r>
        <w:rPr>
          <w:sz w:val="21"/>
          <w:szCs w:val="21"/>
        </w:rPr>
        <w:t xml:space="preserve">. Omettendolo si eseguono tutte le strategie configurate, in sequenza, ciascuna come run separato con un proprio identificatore.</w:t>
      </w:r>
    </w:p>
    <w:p>
      <w:pPr>
        <w:spacing w:after="140" w:line="276"/>
      </w:pPr>
      <w:r>
        <w:rPr>
          <w:rFonts w:ascii="Consolas" w:cs="Consolas" w:eastAsia="Consolas" w:hAnsi="Consolas"/>
          <w:color w:val="20304A"/>
          <w:sz w:val="21"/>
          <w:szCs w:val="21"/>
        </w:rPr>
        <w:t xml:space="preserve">--no-window</w:t>
      </w:r>
      <w:r>
        <w:rPr>
          <w:sz w:val="21"/>
          <w:szCs w:val="21"/>
        </w:rPr>
        <w:t xml:space="preserve"> rinuncia al limite di fine finestra. Esiste per i recuperi e i collaudi, viene registrato nel log come richiesta esplicita, e con </w:t>
      </w:r>
      <w:r>
        <w:rPr>
          <w:rFonts w:ascii="Consolas" w:cs="Consolas" w:eastAsia="Consolas" w:hAnsi="Consolas"/>
          <w:color w:val="20304A"/>
          <w:sz w:val="21"/>
          <w:szCs w:val="21"/>
        </w:rPr>
        <w:t xml:space="preserve">--delete</w:t>
      </w:r>
      <w:r>
        <w:rPr>
          <w:sz w:val="21"/>
          <w:szCs w:val="21"/>
        </w:rPr>
        <w:t xml:space="preserve"> in produzione non andrebbe usato senza una ragione scritta: la finestra è ciò che tiene il purge lontano dall'operatività.</w:t>
      </w:r>
    </w:p>
    <w:p>
      <w:pPr>
        <w:pBdr>
          <w:left w:val="single" w:color="8FA3C0" w:sz="18" w:space="12"/>
        </w:pBdr>
        <w:spacing w:after="180" w:before="60" w:line="276"/>
        <w:ind w:left="360"/>
      </w:pPr>
      <w:r>
        <w:rPr>
          <w:color w:val="44506B"/>
          <w:sz w:val="20"/>
          <w:szCs w:val="20"/>
        </w:rPr>
        <w:t xml:space="preserve">Un'istanza alla volta: all'avvio il motore prende un lock applicativo sul database. Se un'altra istanza sta già girando, il processo esce subito con codice 0 e un avviso nel log — non fallisce, perché una sovrapposizione dello scheduler non è un errore da segnalare come tale.</w:t>
      </w:r>
    </w:p>
    <w:p>
      <w:pPr>
        <w:pStyle w:val="Heading2"/>
        <w:spacing w:after="120" w:before="260"/>
      </w:pPr>
      <w:r>
        <w:rPr>
          <w:b/>
          <w:bCs/>
          <w:color w:val="1F3864"/>
          <w:sz w:val="24"/>
          <w:szCs w:val="24"/>
        </w:rPr>
        <w:t xml:space="preserve">10.5 Sessioni tipo</w:t>
      </w:r>
    </w:p>
    <w:p>
      <w:pPr>
        <w:pStyle w:val="Heading3"/>
        <w:spacing w:after="100" w:before="200"/>
      </w:pPr>
      <w:r>
        <w:rPr>
          <w:b/>
          <w:bCs/>
          <w:color w:val="2E4570"/>
          <w:sz w:val="22"/>
          <w:szCs w:val="22"/>
        </w:rPr>
        <w:t xml:space="preserve">Prima installazione su un database nuovo</w:t>
      </w:r>
    </w:p>
    <w:p>
      <w:pPr>
        <w:shd w:fill="F2F4F7" w:val="clear"/>
        <w:spacing w:after="0" w:line="240"/>
        <w:ind w:left="360"/>
      </w:pPr>
      <w:r>
        <w:rPr>
          <w:rFonts w:ascii="Consolas" w:cs="Consolas" w:eastAsia="Consolas" w:hAnsi="Consolas"/>
          <w:color w:val="20304A"/>
          <w:sz w:val="18"/>
          <w:szCs w:val="18"/>
        </w:rPr>
        <w:t xml:space="preserve">purge migrate --status                            # cosa manca</w:t>
      </w:r>
    </w:p>
    <w:p>
      <w:pPr>
        <w:shd w:fill="F2F4F7" w:val="clear"/>
        <w:spacing w:after="0" w:line="240"/>
        <w:ind w:left="360"/>
      </w:pPr>
      <w:r>
        <w:rPr>
          <w:rFonts w:ascii="Consolas" w:cs="Consolas" w:eastAsia="Consolas" w:hAnsi="Consolas"/>
          <w:color w:val="20304A"/>
          <w:sz w:val="18"/>
          <w:szCs w:val="18"/>
        </w:rPr>
        <w:t xml:space="preserve">purge migrate                                     # applica</w:t>
      </w:r>
    </w:p>
    <w:p>
      <w:pPr>
        <w:shd w:fill="F2F4F7" w:val="clear"/>
        <w:spacing w:after="0" w:line="240"/>
        <w:ind w:left="360"/>
      </w:pPr>
      <w:r>
        <w:rPr>
          <w:rFonts w:ascii="Consolas" w:cs="Consolas" w:eastAsia="Consolas" w:hAnsi="Consolas"/>
          <w:color w:val="20304A"/>
          <w:sz w:val="18"/>
          <w:szCs w:val="18"/>
        </w:rPr>
        <w:t xml:space="preserve">purge once --dry-run OrphanHistory --no-window    # prova di fumo, di giorno</w:t>
      </w:r>
    </w:p>
    <w:p>
      <w:pPr>
        <w:shd w:fill="F2F4F7" w:val="clear"/>
        <w:spacing w:after="160" w:line="240"/>
        <w:ind w:left="360"/>
      </w:pPr>
      <w:r>
        <w:rPr>
          <w:rFonts w:ascii="Consolas" w:cs="Consolas" w:eastAsia="Consolas" w:hAnsi="Consolas"/>
          <w:color w:val="20304A"/>
          <w:sz w:val="18"/>
          <w:szCs w:val="18"/>
        </w:rPr>
        <w:t xml:space="preserve">purge once --dry-run                              # simulazione completa, di notte</w:t>
      </w:r>
    </w:p>
    <w:p>
      <w:pPr>
        <w:pStyle w:val="Heading3"/>
        <w:spacing w:after="100" w:before="200"/>
      </w:pPr>
      <w:r>
        <w:rPr>
          <w:b/>
          <w:bCs/>
          <w:color w:val="2E4570"/>
          <w:sz w:val="22"/>
          <w:szCs w:val="22"/>
        </w:rPr>
        <w:t xml:space="preserve">Dalla simulazione alla prima cancellazione</w:t>
      </w:r>
    </w:p>
    <w:p>
      <w:pPr>
        <w:shd w:fill="F2F4F7" w:val="clear"/>
        <w:spacing w:after="0" w:line="240"/>
        <w:ind w:left="360"/>
      </w:pPr>
      <w:r>
        <w:rPr>
          <w:rFonts w:ascii="Consolas" w:cs="Consolas" w:eastAsia="Consolas" w:hAnsi="Consolas"/>
          <w:color w:val="20304A"/>
          <w:sz w:val="18"/>
          <w:szCs w:val="18"/>
        </w:rPr>
        <w:t xml:space="preserve">purge once --dry-run                              # produce il report</w:t>
      </w:r>
    </w:p>
    <w:p>
      <w:pPr>
        <w:shd w:fill="F2F4F7" w:val="clear"/>
        <w:spacing w:after="0" w:line="240"/>
        <w:ind w:left="360"/>
      </w:pPr>
      <w:r>
        <w:rPr>
          <w:rFonts w:ascii="Consolas" w:cs="Consolas" w:eastAsia="Consolas" w:hAnsi="Consolas"/>
          <w:color w:val="20304A"/>
          <w:sz w:val="18"/>
          <w:szCs w:val="18"/>
        </w:rPr>
        <w:t xml:space="preserve">#    [ esame del report con Compliance ]</w:t>
      </w:r>
    </w:p>
    <w:p>
      <w:pPr>
        <w:shd w:fill="F2F4F7" w:val="clear"/>
        <w:spacing w:after="0" w:line="240"/>
        <w:ind w:left="360"/>
      </w:pPr>
      <w:r>
        <w:rPr>
          <w:rFonts w:ascii="Consolas" w:cs="Consolas" w:eastAsia="Consolas" w:hAnsi="Consolas"/>
          <w:color w:val="20304A"/>
          <w:sz w:val="18"/>
          <w:szCs w:val="18"/>
        </w:rPr>
        <w:t xml:space="preserve">purge approve 3f2a... --by "M. Rossi" --note "CR-1487"</w:t>
      </w:r>
    </w:p>
    <w:p>
      <w:pPr>
        <w:shd w:fill="F2F4F7" w:val="clear"/>
        <w:spacing w:after="0" w:line="240"/>
        <w:ind w:left="360"/>
      </w:pPr>
      <w:r>
        <w:rPr>
          <w:rFonts w:ascii="Consolas" w:cs="Consolas" w:eastAsia="Consolas" w:hAnsi="Consolas"/>
          <w:color w:val="20304A"/>
          <w:sz w:val="18"/>
          <w:szCs w:val="18"/>
        </w:rPr>
        <w:t xml:space="preserve">#    [ il DBA concede DELETE all'utenza del purge ]</w:t>
      </w:r>
    </w:p>
    <w:p>
      <w:pPr>
        <w:shd w:fill="F2F4F7" w:val="clear"/>
        <w:spacing w:after="0" w:line="240"/>
        <w:ind w:left="360"/>
      </w:pPr>
      <w:r>
        <w:rPr>
          <w:rFonts w:ascii="Consolas" w:cs="Consolas" w:eastAsia="Consolas" w:hAnsi="Consolas"/>
          <w:color w:val="20304A"/>
          <w:sz w:val="18"/>
          <w:szCs w:val="18"/>
        </w:rPr>
        <w:t xml:space="preserve">purge once --delete OrphanHistory                 # prima notte, una strategia</w:t>
      </w:r>
    </w:p>
    <w:p>
      <w:pPr>
        <w:shd w:fill="F2F4F7" w:val="clear"/>
        <w:spacing w:after="160" w:line="240"/>
        <w:ind w:left="360"/>
      </w:pPr>
      <w:r>
        <w:rPr>
          <w:rFonts w:ascii="Consolas" w:cs="Consolas" w:eastAsia="Consolas" w:hAnsi="Consolas"/>
          <w:color w:val="20304A"/>
          <w:sz w:val="18"/>
          <w:szCs w:val="18"/>
        </w:rPr>
        <w:t xml:space="preserve">purge once --delete                               # a regime, tutte</w:t>
      </w:r>
    </w:p>
    <w:p>
      <w:pPr>
        <w:pStyle w:val="Heading3"/>
        <w:spacing w:after="100" w:before="200"/>
      </w:pPr>
      <w:r>
        <w:rPr>
          <w:b/>
          <w:bCs/>
          <w:color w:val="2E4570"/>
          <w:sz w:val="22"/>
          <w:szCs w:val="22"/>
        </w:rPr>
        <w:t xml:space="preserve">Un run interrotto che riprende</w:t>
      </w:r>
    </w:p>
    <w:p>
      <w:pPr>
        <w:spacing w:after="140" w:line="276"/>
      </w:pPr>
      <w:r>
        <w:rPr>
          <w:sz w:val="21"/>
          <w:szCs w:val="21"/>
        </w:rPr>
        <w:t xml:space="preserve">Nessun comando speciale: si rilancia lo stesso comando. Il motore trova il run non concluso e riparte dal checkpoint, sullo stesso insieme di candidati congelato.</w:t>
      </w:r>
    </w:p>
    <w:p>
      <w:pPr>
        <w:shd w:fill="F2F4F7" w:val="clear"/>
        <w:spacing w:after="0" w:line="240"/>
        <w:ind w:left="360"/>
      </w:pPr>
      <w:r>
        <w:rPr>
          <w:rFonts w:ascii="Consolas" w:cs="Consolas" w:eastAsia="Consolas" w:hAnsi="Consolas"/>
          <w:color w:val="20304A"/>
          <w:sz w:val="18"/>
          <w:szCs w:val="18"/>
        </w:rPr>
        <w:t xml:space="preserve">purge once --delete                               # esce con 5: finestra superata</w:t>
      </w:r>
    </w:p>
    <w:p>
      <w:pPr>
        <w:shd w:fill="F2F4F7" w:val="clear"/>
        <w:spacing w:after="0" w:line="240"/>
        <w:ind w:left="360"/>
      </w:pPr>
      <w:r>
        <w:rPr>
          <w:rFonts w:ascii="Consolas" w:cs="Consolas" w:eastAsia="Consolas" w:hAnsi="Consolas"/>
          <w:color w:val="20304A"/>
          <w:sz w:val="18"/>
          <w:szCs w:val="18"/>
        </w:rPr>
        <w:t xml:space="preserve">#    [ la notte successiva, stesso comando ]</w:t>
      </w:r>
    </w:p>
    <w:p>
      <w:pPr>
        <w:shd w:fill="F2F4F7" w:val="clear"/>
        <w:spacing w:after="160" w:line="240"/>
        <w:ind w:left="360"/>
      </w:pPr>
      <w:r>
        <w:rPr>
          <w:rFonts w:ascii="Consolas" w:cs="Consolas" w:eastAsia="Consolas" w:hAnsi="Consolas"/>
          <w:color w:val="20304A"/>
          <w:sz w:val="18"/>
          <w:szCs w:val="18"/>
        </w:rPr>
        <w:t xml:space="preserve">purge once --delete                               # riprende da dove si era fermato</w:t>
      </w:r>
    </w:p>
    <w:p>
      <w:pPr>
        <w:pStyle w:val="Heading2"/>
        <w:spacing w:after="120" w:before="260"/>
      </w:pPr>
      <w:r>
        <w:rPr>
          <w:b/>
          <w:bCs/>
          <w:color w:val="1F3864"/>
          <w:sz w:val="24"/>
          <w:szCs w:val="24"/>
        </w:rPr>
        <w:t xml:space="preserve">10.6 Codici di uscita</w:t>
      </w:r>
    </w:p>
    <w:p>
      <w:pPr>
        <w:spacing w:after="140" w:line="276"/>
      </w:pPr>
      <w:r>
        <w:rPr>
          <w:sz w:val="21"/>
          <w:szCs w:val="21"/>
        </w:rPr>
        <w:t xml:space="preserve">L'esecuzione singola comunica l'esito allo scheduler tramite il codice di uscita. Due di questi non sono guasti.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Modalità assente, 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Avvio 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Non è un guasto: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 (Ctrl-C o arresto del job)</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Non è un guasto: riprende dal checkpoint</w:t>
            </w:r>
          </w:p>
        </w:tc>
      </w:tr>
    </w:tbl>
    <w:p>
      <w:pPr>
        <w:pBdr>
          <w:left w:val="single" w:color="8FA3C0" w:sz="18" w:space="12"/>
        </w:pBdr>
        <w:spacing w:after="180" w:before="60" w:line="276"/>
        <w:ind w:left="360"/>
      </w:pPr>
      <w:r>
        <w:rPr>
          <w:color w:val="44506B"/>
          <w:sz w:val="20"/>
          <w:szCs w:val="20"/>
        </w:rPr>
        <w:t xml:space="preserve">Sui volumi di produzione le prime notti finiranno quasi sempre con 5. Chi sorveglia i job va avvisato in anticipo, altrimenti il primo 5 viene trattato come un incidente.</w:t>
      </w:r>
    </w:p>
    <w:p>
      <w:pPr>
        <w:pStyle w:val="Heading2"/>
        <w:spacing w:after="120" w:before="260"/>
      </w:pPr>
      <w:r>
        <w:rPr>
          <w:b/>
          <w:bCs/>
          <w:color w:val="1F3864"/>
          <w:sz w:val="24"/>
          <w:szCs w:val="24"/>
        </w:rPr>
        <w:t xml:space="preserve">10.7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10.8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D-15</w:t>
            </w:r>
          </w:p>
        </w:tc>
        <w:tc>
          <w:tcPr>
            <w:tcW w:type="dxa" w:w="3100"/>
            <w:tcMar>
              <w:top w:type="dxa" w:w="70"/>
              <w:left w:type="dxa" w:w="110"/>
              <w:bottom w:type="dxa" w:w="70"/>
              <w:right w:type="dxa" w:w="110"/>
            </w:tcMar>
          </w:tcPr>
          <w:p>
            <w:pPr>
              <w:spacing w:after="0" w:line="250"/>
            </w:pPr>
            <w:r>
              <w:rPr>
                <w:b w:val="false"/>
                <w:bCs w:val="false"/>
                <w:sz w:val="19"/>
                <w:szCs w:val="19"/>
              </w:rPr>
              <w:t xml:space="preserve">Deriva dello schema rilevata all'avvio</w:t>
            </w:r>
          </w:p>
        </w:tc>
        <w:tc>
          <w:tcPr>
            <w:tcW w:type="dxa" w:w="5600"/>
            <w:tcMar>
              <w:top w:type="dxa" w:w="70"/>
              <w:left w:type="dxa" w:w="110"/>
              <w:bottom w:type="dxa" w:w="70"/>
              <w:right w:type="dxa" w:w="110"/>
            </w:tcMar>
          </w:tcPr>
          <w:p>
            <w:pPr>
              <w:spacing w:after="0" w:line="250"/>
            </w:pPr>
            <w:r>
              <w:rPr>
                <w:b w:val="false"/>
                <w:bCs w:val="false"/>
                <w:sz w:val="19"/>
                <w:szCs w:val="19"/>
              </w:rPr>
              <w:t xml:space="preserve">Solo la verifica manuale: una tabella nuova legata a Order si sarebbe manifestata di notte, come aggregati abbandonati uno per uno.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Finestra in un fuso dichiarato, scadenza come istante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Fuso dell'host e differenza fra orari: in un container il fuso è UTC, e nella notte di primavera la scadenza concedeva un'ora in più.</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D-17</w:t>
            </w:r>
          </w:p>
        </w:tc>
        <w:tc>
          <w:tcPr>
            <w:tcW w:type="dxa" w:w="3100"/>
            <w:tcMar>
              <w:top w:type="dxa" w:w="70"/>
              <w:left w:type="dxa" w:w="110"/>
              <w:bottom w:type="dxa" w:w="70"/>
              <w:right w:type="dxa" w:w="110"/>
            </w:tcMar>
          </w:tcPr>
          <w:p>
            <w:pPr>
              <w:spacing w:after="0" w:line="250"/>
            </w:pPr>
            <w:r>
              <w:rPr>
                <w:b w:val="false"/>
                <w:bCs w:val="false"/>
                <w:sz w:val="19"/>
                <w:szCs w:val="19"/>
              </w:rPr>
              <w:t xml:space="preserve">Tetto al peso del singolo aggregato</w:t>
            </w:r>
          </w:p>
        </w:tc>
        <w:tc>
          <w:tcPr>
            <w:tcW w:type="dxa" w:w="5600"/>
            <w:tcMar>
              <w:top w:type="dxa" w:w="70"/>
              <w:left w:type="dxa" w:w="110"/>
              <w:bottom w:type="dxa" w:w="70"/>
              <w:right w:type="dxa" w:w="110"/>
            </w:tcMar>
          </w:tcPr>
          <w:p>
            <w:pPr>
              <w:spacing w:after="0" w:line="250"/>
            </w:pPr>
            <w:r>
              <w:rPr>
                <w:b w:val="false"/>
                <w:bCs w:val="false"/>
                <w:sz w:val="19"/>
                <w:szCs w:val="19"/>
              </w:rPr>
              <w:t xml:space="preserve">Nessun limite superiore: un collettivo da centomila righe diventa la transazione che il packing esiste per evitare.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B-1</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w:t>
            </w:r>
          </w:p>
        </w:tc>
      </w:tr>
      <w:tr>
        <w:tc>
          <w:tcPr>
            <w:tcW w:type="dxa" w:w="700"/>
            <w:tcMar>
              <w:top w:type="dxa" w:w="70"/>
              <w:left w:type="dxa" w:w="110"/>
              <w:bottom w:type="dxa" w:w="70"/>
              <w:right w:type="dxa" w:w="110"/>
            </w:tcMar>
          </w:tcPr>
          <w:p>
            <w:pPr>
              <w:spacing w:after="0" w:line="250"/>
            </w:pPr>
            <w:r>
              <w:rPr>
                <w:b w:val="false"/>
                <w:bCs w:val="false"/>
                <w:sz w:val="19"/>
                <w:szCs w:val="19"/>
              </w:rPr>
              <w:t xml:space="preserve">B-2</w:t>
            </w:r>
          </w:p>
        </w:tc>
        <w:tc>
          <w:tcPr>
            <w:tcW w:type="dxa" w:w="3100"/>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HK-1</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140" w:line="276"/>
      </w:pPr>
      <w:r>
        <w:rPr>
          <w:sz w:val="21"/>
          <w:szCs w:val="21"/>
        </w:rPr>
        <w:t xml:space="preserve">La classificazione conta quanto la domanda. Un punto che impedisce il primo sfoltimento e uno che si può chiarire dopo richiedono la stessa risposta, ma non nello stesso momento, e confonderli fa perdere tempo su entrambi.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000"/>
        <w:gridCol w:w="7400"/>
      </w:tblGrid>
      <w:tr>
        <w:trPr>
          <w:tblHeader/>
        </w:trPr>
        <w:tc>
          <w:tcPr>
            <w:tcW w:type="dxa" w:w="20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74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000"/>
            <w:tcMar>
              <w:top w:type="dxa" w:w="70"/>
              <w:left w:type="dxa" w:w="110"/>
              <w:bottom w:type="dxa" w:w="70"/>
              <w:right w:type="dxa" w:w="110"/>
            </w:tcMar>
          </w:tcPr>
          <w:p>
            <w:pPr>
              <w:spacing w:after="0" w:line="250"/>
            </w:pPr>
            <w:r>
              <w:rPr>
                <w:b w:val="false"/>
                <w:bCs w:val="false"/>
                <w:sz w:val="19"/>
                <w:szCs w:val="19"/>
              </w:rPr>
              <w:t xml:space="preserve">Bloccante</w:t>
            </w:r>
          </w:p>
        </w:tc>
        <w:tc>
          <w:tcPr>
            <w:tcW w:type="dxa" w:w="7400"/>
            <w:tcMar>
              <w:top w:type="dxa" w:w="70"/>
              <w:left w:type="dxa" w:w="110"/>
              <w:bottom w:type="dxa" w:w="70"/>
              <w:right w:type="dxa" w:w="110"/>
            </w:tcMar>
          </w:tcPr>
          <w:p>
            <w:pPr>
              <w:spacing w:after="0" w:line="250"/>
            </w:pPr>
            <w:r>
              <w:rPr>
                <w:b w:val="false"/>
                <w:bCs w:val="false"/>
                <w:sz w:val="19"/>
                <w:szCs w:val="19"/>
              </w:rPr>
              <w:t xml:space="preserve">Il primo sfoltimento reale non può avvenire senza risposta: senza, il perimetro di ciò che verrebbe cancellato non è definito.</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Non impedisce il go-live, ma blocca l'attivazione di una funzione specifica.</w:t>
            </w:r>
          </w:p>
        </w:tc>
      </w:tr>
      <w:tr>
        <w:tc>
          <w:tcPr>
            <w:tcW w:type="dxa" w:w="20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7400"/>
            <w:tcMar>
              <w:top w:type="dxa" w:w="70"/>
              <w:left w:type="dxa" w:w="110"/>
              <w:bottom w:type="dxa" w:w="70"/>
              <w:right w:type="dxa" w:w="110"/>
            </w:tcMar>
          </w:tcPr>
          <w:p>
            <w:pPr>
              <w:spacing w:after="0" w:line="250"/>
            </w:pPr>
            <w:r>
              <w:rPr>
                <w:b w:val="false"/>
                <w:bCs w:val="false"/>
                <w:sz w:val="19"/>
                <w:szCs w:val="19"/>
              </w:rPr>
              <w:t xml:space="preserve">Il comportamento attuale è difendibile; la risposta lo conferma o lo cambia, senza urgenza.</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Funzione oggi assente. Va deciso se e quando servirà, non come farla.</w:t>
            </w:r>
          </w:p>
        </w:tc>
      </w:tr>
    </w:tbl>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1700"/>
        <w:gridCol w:w="3100"/>
        <w:gridCol w:w="1500"/>
        <w:gridCol w:w="24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17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31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5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24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1700"/>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1700"/>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31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Strategia degli abbandoni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Esistono stati conclusivi oltre i cinque riconosciuti?</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Censiti a ogni simulazione (§4.7): non vengono mai sfoltiti finché non sono dichiarati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Quale valore per il tetto per aggregato?</w:t>
            </w:r>
          </w:p>
        </w:tc>
        <w:tc>
          <w:tcPr>
            <w:tcW w:type="dxa" w:w="1500"/>
            <w:tcMar>
              <w:top w:type="dxa" w:w="70"/>
              <w:left w:type="dxa" w:w="110"/>
              <w:bottom w:type="dxa" w:w="70"/>
              <w:right w:type="dxa" w:w="110"/>
            </w:tcMar>
          </w:tcPr>
          <w:p>
            <w:pPr>
              <w:spacing w:after="0" w:line="250"/>
            </w:pPr>
            <w:r>
              <w:rPr>
                <w:b w:val="false"/>
                <w:bCs w:val="false"/>
                <w:sz w:val="19"/>
                <w:szCs w:val="19"/>
              </w:rPr>
              <w:t xml:space="preserve">DBA</w:t>
            </w:r>
          </w:p>
        </w:tc>
        <w:tc>
          <w:tcPr>
            <w:tcW w:type="dxa" w:w="2400"/>
            <w:tcMar>
              <w:top w:type="dxa" w:w="70"/>
              <w:left w:type="dxa" w:w="110"/>
              <w:bottom w:type="dxa" w:w="70"/>
              <w:right w:type="dxa" w:w="110"/>
            </w:tcMar>
          </w:tcPr>
          <w:p>
            <w:pPr>
              <w:spacing w:after="0" w:line="250"/>
            </w:pPr>
            <w:r>
              <w:rPr>
                <w:b w:val="false"/>
                <w:bCs w:val="false"/>
                <w:sz w:val="19"/>
                <w:szCs w:val="19"/>
              </w:rPr>
              <w:t xml:space="preserve">Default prudenziale: va tarato sui pesi reali dopo la prima simulazione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PA-5</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Serve un blocco per contenzioso (legal hold)?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pPr>
        <w:pBdr>
          <w:left w:val="single" w:color="8FA3C0" w:sz="18" w:space="12"/>
        </w:pBdr>
        <w:spacing w:after="180" w:before="60" w:line="276"/>
        <w:ind w:left="360"/>
      </w:pPr>
      <w:r>
        <w:rPr>
          <w:color w:val="44506B"/>
          <w:sz w:val="20"/>
          <w:szCs w:val="20"/>
        </w:rPr>
        <w:t xml:space="preserve">Solo PA-3 e PA-4 impediscono il primo sfoltimento reale. Gli altri hanno un comportamento attuale prudente e documentato, e una risposta diversa si traduce in configurazione, non in riprogettazione.</w:t>
      </w:r>
    </w:p>
    <w:p>
      <w:pPr>
        <w:spacing w:after="140" w:line="276"/>
      </w:pPr>
      <w:r>
        <w:rPr>
          <w:sz w:val="21"/>
          <w:szCs w:val="21"/>
        </w:rPr>
        <w:t xml:space="preserve">Un secondo insieme di punti aperti riguarda la cancellazione su richiesta — per numero di relazione del debitore e per identificativo di pagamento — che è una funzione distinta dalla retention e non è oggetto di questo documento. Il disegno proposto e i suoi ventuno punti aperti, cinque dei quali bloccanti, sono in docs/disegno-cancellazione-su-richiesta.md.</w:t>
      </w:r>
    </w:p>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tetto per aggregato e finestra oraria tarati sui numeri reali.</w:t>
      </w:r>
    </w:p>
    <w:p>
      <w:pPr>
        <w:spacing w:after="90"/>
      </w:pPr>
      <w:r>
        <w:rPr>
          <w:sz w:val="21"/>
          <w:szCs w:val="21"/>
        </w:rPr>
        <w:t xml:space="preserve">☐  Fuso orario della finestra dichiarato in configurazione e verificato nella prima riga di log.</w:t>
      </w:r>
    </w:p>
    <w:p>
      <w:pPr>
        <w:spacing w:after="90"/>
      </w:pPr>
      <w:r>
        <w:rPr>
          <w:sz w:val="21"/>
          <w:szCs w:val="21"/>
        </w:rPr>
        <w:t xml:space="preserve">☐  Verifica delle foreign key ripetuta dopo ogni rilascio dell'applicazione: una tabella nuova legata all'aggregato impedisce l'avvio (D-15).</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docs/disegno-cancellazione-su-richiesta.md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Proposta: cancellazione per relazione debitore e per identificativo di pagamento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Quelli marcati vanno tarati sui numeri reali prima della prima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000"/>
        <w:gridCol w:w="1500"/>
        <w:gridCol w:w="4900"/>
      </w:tblGrid>
      <w:tr>
        <w:trPr>
          <w:tblHeader/>
        </w:trPr>
        <w:tc>
          <w:tcPr>
            <w:tcW w:type="dxa" w:w="30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5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49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Anni di conservazione.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Modo di ancoraggio della soglia. Fa parte della policy approvata.</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5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4900"/>
            <w:tcMar>
              <w:top w:type="dxa" w:w="70"/>
              <w:left w:type="dxa" w:w="110"/>
              <w:bottom w:type="dxa" w:w="70"/>
              <w:right w:type="dxa" w:w="110"/>
            </w:tcMar>
          </w:tcPr>
          <w:p>
            <w:pPr>
              <w:spacing w:after="0" w:line="250"/>
            </w:pPr>
            <w:r>
              <w:rPr>
                <w:b w:val="false"/>
                <w:bCs w:val="false"/>
                <w:sz w:val="19"/>
                <w:szCs w:val="19"/>
              </w:rPr>
              <w:t xml:space="preserve">Strategie attive.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3000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  ▲</w:t>
            </w:r>
          </w:p>
        </w:tc>
        <w:tc>
          <w:tcPr>
            <w:tcW w:type="dxa" w:w="1500"/>
            <w:tcMar>
              <w:top w:type="dxa" w:w="70"/>
              <w:left w:type="dxa" w:w="110"/>
              <w:bottom w:type="dxa" w:w="70"/>
              <w:right w:type="dxa" w:w="110"/>
            </w:tcMar>
          </w:tcPr>
          <w:p>
            <w:pPr>
              <w:spacing w:after="0" w:line="250"/>
            </w:pPr>
            <w:r>
              <w:rPr>
                <w:b w:val="false"/>
                <w:bCs w:val="false"/>
                <w:sz w:val="19"/>
                <w:szCs w:val="19"/>
              </w:rPr>
              <w:t xml:space="preserve">500</w:t>
            </w:r>
          </w:p>
        </w:tc>
        <w:tc>
          <w:tcPr>
            <w:tcW w:type="dxa" w:w="4900"/>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500"/>
            <w:tcMar>
              <w:top w:type="dxa" w:w="70"/>
              <w:left w:type="dxa" w:w="110"/>
              <w:bottom w:type="dxa" w:w="70"/>
              <w:right w:type="dxa" w:w="110"/>
            </w:tcMar>
          </w:tcPr>
          <w:p>
            <w:pPr>
              <w:spacing w:after="0" w:line="250"/>
            </w:pPr>
            <w:r>
              <w:rPr>
                <w:b w:val="false"/>
                <w:bCs w:val="false"/>
                <w:sz w:val="19"/>
                <w:szCs w:val="19"/>
              </w:rPr>
              <w:t xml:space="preserve">3</w:t>
            </w:r>
          </w:p>
        </w:tc>
        <w:tc>
          <w:tcPr>
            <w:tcW w:type="dxa" w:w="49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MaxAggregateWeight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30 000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Peso oltre il quale l'aggregato è escluso invece di essere cancellato. Zero disattiva il limite.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TimeZoneId  ▲</w:t>
            </w:r>
          </w:p>
        </w:tc>
        <w:tc>
          <w:tcPr>
            <w:tcW w:type="dxa" w:w="1500"/>
            <w:tcMar>
              <w:top w:type="dxa" w:w="70"/>
              <w:left w:type="dxa" w:w="110"/>
              <w:bottom w:type="dxa" w:w="70"/>
              <w:right w:type="dxa" w:w="110"/>
            </w:tcMar>
          </w:tcPr>
          <w:p>
            <w:pPr>
              <w:spacing w:after="0" w:line="250"/>
            </w:pPr>
            <w:r>
              <w:rPr>
                <w:b w:val="false"/>
                <w:bCs w:val="false"/>
                <w:sz w:val="19"/>
                <w:szCs w:val="19"/>
              </w:rPr>
              <w:t xml:space="preserve">(fuso dell'host)</w:t>
            </w:r>
          </w:p>
        </w:tc>
        <w:tc>
          <w:tcPr>
            <w:tcW w:type="dxa" w:w="4900"/>
            <w:tcMar>
              <w:top w:type="dxa" w:w="70"/>
              <w:left w:type="dxa" w:w="110"/>
              <w:bottom w:type="dxa" w:w="70"/>
              <w:right w:type="dxa" w:w="110"/>
            </w:tcMar>
          </w:tcPr>
          <w:p>
            <w:pPr>
              <w:spacing w:after="0" w:line="250"/>
            </w:pPr>
            <w:r>
              <w:rPr>
                <w:b w:val="false"/>
                <w:bCs w:val="false"/>
                <w:sz w:val="19"/>
                <w:szCs w:val="19"/>
              </w:rPr>
              <w:t xml:space="preserve">Fuso in cui si leggono WindowStart e WindowEnd. Da valorizzare in produzione.</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è la leva principale sull'impatto all'operatività.</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  ▲</w:t>
            </w:r>
          </w:p>
        </w:tc>
        <w:tc>
          <w:tcPr>
            <w:tcW w:type="dxa" w:w="1500"/>
            <w:tcMar>
              <w:top w:type="dxa" w:w="70"/>
              <w:left w:type="dxa" w:w="110"/>
              <w:bottom w:type="dxa" w:w="70"/>
              <w:right w:type="dxa" w:w="110"/>
            </w:tcMar>
          </w:tcPr>
          <w:p>
            <w:pPr>
              <w:spacing w:after="0" w:line="250"/>
            </w:pPr>
            <w:r>
              <w:rPr>
                <w:b w:val="false"/>
                <w:bCs w:val="false"/>
                <w:sz w:val="19"/>
                <w:szCs w:val="19"/>
              </w:rPr>
              <w:t xml:space="preserve">01:00 / 05:00</w:t>
            </w:r>
          </w:p>
        </w:tc>
        <w:tc>
          <w:tcPr>
            <w:tcW w:type="dxa" w:w="4900"/>
            <w:tcMar>
              <w:top w:type="dxa" w:w="70"/>
              <w:left w:type="dxa" w:w="110"/>
              <w:bottom w:type="dxa" w:w="70"/>
              <w:right w:type="dxa" w:w="110"/>
            </w:tcMar>
          </w:tcPr>
          <w:p>
            <w:pPr>
              <w:spacing w:after="0" w:line="250"/>
            </w:pPr>
            <w:r>
              <w:rPr>
                <w:b w:val="false"/>
                <w:bCs w:val="false"/>
                <w:sz w:val="19"/>
                <w:szCs w:val="19"/>
              </w:rPr>
              <w:t xml:space="preserve">Finestra oraria, nell'ora locale dell'host.</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500"/>
            <w:tcMar>
              <w:top w:type="dxa" w:w="70"/>
              <w:left w:type="dxa" w:w="110"/>
              <w:bottom w:type="dxa" w:w="70"/>
              <w:right w:type="dxa" w:w="110"/>
            </w:tcMar>
          </w:tcPr>
          <w:p>
            <w:pPr>
              <w:spacing w:after="0" w:line="250"/>
            </w:pPr>
            <w:r>
              <w:rPr>
                <w:b w:val="false"/>
                <w:bCs w:val="false"/>
                <w:sz w:val="19"/>
                <w:szCs w:val="19"/>
              </w:rPr>
              <w:t xml:space="preserve">90</w:t>
            </w:r>
          </w:p>
        </w:tc>
        <w:tc>
          <w:tcPr>
            <w:tcW w:type="dxa" w:w="49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500"/>
            <w:tcMar>
              <w:top w:type="dxa" w:w="70"/>
              <w:left w:type="dxa" w:w="110"/>
              <w:bottom w:type="dxa" w:w="70"/>
              <w:right w:type="dxa" w:w="110"/>
            </w:tcMar>
          </w:tcPr>
          <w:p>
            <w:pPr>
              <w:spacing w:after="0" w:line="250"/>
            </w:pPr>
            <w:r>
              <w:rPr>
                <w:b w:val="false"/>
                <w:bCs w:val="false"/>
                <w:sz w:val="19"/>
                <w:szCs w:val="19"/>
              </w:rPr>
              <w:t xml:space="preserve">300</w:t>
            </w:r>
          </w:p>
        </w:tc>
        <w:tc>
          <w:tcPr>
            <w:tcW w:type="dxa" w:w="4900"/>
            <w:tcMar>
              <w:top w:type="dxa" w:w="70"/>
              <w:left w:type="dxa" w:w="110"/>
              <w:bottom w:type="dxa" w:w="70"/>
              <w:right w:type="dxa" w:w="110"/>
            </w:tcMar>
          </w:tcPr>
          <w:p>
            <w:pPr>
              <w:spacing w:after="0" w:line="250"/>
            </w:pPr>
            <w:r>
              <w:rPr>
                <w:b w:val="false"/>
                <w:bCs w:val="false"/>
                <w:sz w:val="19"/>
                <w:szCs w:val="19"/>
              </w:rPr>
              <w:t xml:space="preserve">Timeout dei comandi SQL.</w:t>
            </w:r>
          </w:p>
        </w:tc>
      </w:tr>
    </w:tbl>
    <w:p>
      <w:pPr>
        <w:pBdr>
          <w:left w:val="single" w:color="8FA3C0" w:sz="18" w:space="12"/>
        </w:pBdr>
        <w:spacing w:after="180" w:before="60" w:line="276"/>
        <w:ind w:left="360"/>
      </w:pPr>
      <w:r>
        <w:rPr>
          <w:color w:val="44506B"/>
          <w:sz w:val="20"/>
          <w:szCs w:val="20"/>
        </w:rPr>
        <w:t xml:space="preserve">▲ = da tarare sui numeri reali prima della prima esecuzione.</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2026-09-09T12:34:00.382Z</dcterms:created>
  <dcterms:modified xsi:type="dcterms:W3CDTF">2026-09-09T12:34:00.397Z</dcterms:modified>
</cp:coreProperties>
</file>

<file path=docProps/custom.xml><?xml version="1.0" encoding="utf-8"?>
<Properties xmlns="http://schemas.openxmlformats.org/officeDocument/2006/custom-properties" xmlns:vt="http://schemas.openxmlformats.org/officeDocument/2006/docPropsVTypes"/>
</file>