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31C18"/>
          <w:sz w:val="40"/>
          <w:szCs w:val="40"/>
        </w:rPr>
        <w:t xml:space="preserve">DiaBite — One-Page PRD</w:t>
      </w:r>
    </w:p>
    <w:p>
      <w:pPr>
        <w:spacing w:after="200"/>
        <w:jc w:val="left"/>
      </w:pPr>
      <w:r>
        <w:rPr>
          <w:b/>
          <w:bCs/>
          <w:color w:val="57655E"/>
          <w:sz w:val="19"/>
          <w:szCs w:val="19"/>
        </w:rPr>
        <w:t xml:space="preserve">Date:</w:t>
      </w:r>
      <w:r>
        <w:rPr>
          <w:color w:val="57655E"/>
          <w:sz w:val="19"/>
          <w:szCs w:val="19"/>
        </w:rPr>
        <w:t xml:space="preserve"> 23 September 2026 | </w:t>
      </w:r>
      <w:r>
        <w:rPr>
          <w:b/>
          <w:bCs/>
          <w:color w:val="57655E"/>
          <w:sz w:val="19"/>
          <w:szCs w:val="19"/>
        </w:rPr>
        <w:t xml:space="preserve">Author:</w:t>
      </w:r>
      <w:r>
        <w:rPr>
          <w:color w:val="57655E"/>
          <w:sz w:val="19"/>
          <w:szCs w:val="19"/>
        </w:rPr>
        <w:t xml:space="preserve"> Nadia Babich | </w:t>
      </w:r>
      <w:r>
        <w:rPr>
          <w:b/>
          <w:bCs/>
          <w:color w:val="57655E"/>
          <w:sz w:val="19"/>
          <w:szCs w:val="19"/>
        </w:rPr>
        <w:t xml:space="preserve">Status:</w:t>
      </w:r>
      <w:r>
        <w:rPr>
          <w:color w:val="57655E"/>
          <w:sz w:val="19"/>
          <w:szCs w:val="19"/>
        </w:rPr>
        <w:t xml:space="preserve"> Draft v1.2</w:t>
      </w:r>
    </w:p>
    <w:p>
      <w:pPr>
        <w:spacing w:after="200"/>
        <w:jc w:val="left"/>
      </w:pPr>
      <w:r>
        <w:rPr>
          <w:b/>
          <w:bCs/>
          <w:color w:val="57655E"/>
          <w:sz w:val="19"/>
          <w:szCs w:val="19"/>
        </w:rPr>
        <w:t xml:space="preserve">Market:</w:t>
      </w:r>
      <w:r>
        <w:rPr>
          <w:color w:val="57655E"/>
          <w:sz w:val="19"/>
          <w:szCs w:val="19"/>
        </w:rPr>
        <w:t xml:space="preserve"> United States | </w:t>
      </w:r>
      <w:r>
        <w:rPr>
          <w:b/>
          <w:bCs/>
          <w:color w:val="57655E"/>
          <w:sz w:val="19"/>
          <w:szCs w:val="19"/>
        </w:rPr>
        <w:t xml:space="preserve">Build:</w:t>
      </w:r>
      <w:r>
        <w:rPr>
          <w:color w:val="57655E"/>
          <w:sz w:val="19"/>
          <w:szCs w:val="19"/>
        </w:rPr>
        <w:t xml:space="preserve"> 5 weeks, solo, AI-assisted | </w:t>
      </w:r>
      <w:r>
        <w:rPr>
          <w:b/>
          <w:bCs/>
          <w:color w:val="57655E"/>
          <w:sz w:val="19"/>
          <w:szCs w:val="19"/>
        </w:rPr>
        <w:t xml:space="preserve">Outcome:</w:t>
      </w:r>
      <w:r>
        <w:rPr>
          <w:color w:val="57655E"/>
          <w:sz w:val="19"/>
          <w:szCs w:val="19"/>
        </w:rPr>
        <w:t xml:space="preserve"> working demo for a pitch</w:t>
      </w:r>
    </w:p>
    <w:p>
      <w:pPr>
        <w:pStyle w:val="Heading2"/>
        <w:pBdr>
          <w:bottom w:val="single" w:color="D9E1DD" w:sz="6" w:space="4"/>
        </w:pBdr>
        <w:spacing w:after="120" w:before="280"/>
      </w:pPr>
      <w:r>
        <w:rPr>
          <w:b/>
          <w:bCs/>
          <w:caps w:val="false"/>
          <w:color w:val="1C6B49"/>
          <w:sz w:val="24"/>
          <w:szCs w:val="24"/>
        </w:rPr>
        <w:t xml:space="preserve">Problem</w:t>
      </w:r>
    </w:p>
    <w:p>
      <w:pPr>
        <w:spacing w:after="140"/>
        <w:jc w:val="left"/>
      </w:pPr>
      <w:r>
        <w:rPr>
          <w:color w:val="131C18"/>
          <w:sz w:val="21"/>
          <w:szCs w:val="21"/>
        </w:rPr>
        <w:t xml:space="preserve">People with type 2 diabetes, prediabetes, or insulin resistance face one narrow question five to seven times a day — </w:t>
      </w:r>
      <w:r>
        <w:rPr>
          <w:i/>
          <w:iCs/>
          <w:color w:val="131C18"/>
          <w:sz w:val="21"/>
          <w:szCs w:val="21"/>
        </w:rPr>
        <w:t xml:space="preserve">can I eat this, how much, and with what?</w:t>
      </w:r>
      <w:r>
        <w:rPr>
          <w:color w:val="131C18"/>
          <w:sz w:val="21"/>
          <w:szCs w:val="21"/>
        </w:rPr>
        <w:t xml:space="preserve"> — and the tools they are given either don't answer it (a printed food list) or make answering it so laborious that logging collapses within weeks (a calorie app). The job is bookkeeping, not knowledge: turning a real meal into grams and glycemic load, and holding a running daily budget.</w:t>
      </w:r>
    </w:p>
    <w:p>
      <w:pPr>
        <w:pStyle w:val="Heading2"/>
        <w:pBdr>
          <w:bottom w:val="single" w:color="D9E1DD" w:sz="6" w:space="4"/>
        </w:pBdr>
        <w:spacing w:after="120" w:before="280"/>
      </w:pPr>
      <w:r>
        <w:rPr>
          <w:b/>
          <w:bCs/>
          <w:caps w:val="false"/>
          <w:color w:val="1C6B49"/>
          <w:sz w:val="24"/>
          <w:szCs w:val="24"/>
        </w:rPr>
        <w:t xml:space="preserve">Solution</w:t>
      </w:r>
    </w:p>
    <w:p>
      <w:pPr>
        <w:spacing w:after="140"/>
        <w:jc w:val="left"/>
      </w:pPr>
      <w:r>
        <w:rPr>
          <w:color w:val="131C18"/>
          <w:sz w:val="21"/>
          <w:szCs w:val="21"/>
        </w:rPr>
        <w:t xml:space="preserve">An agentic copilot that does the bookkeeping from a sentence. A model reads a free-text meal and decides which tools to call; a deterministic engine computes every number; a verifier rejects any answer containing a number no tool returned. The user gets a verdict, the number behind it, a one-line reason, and a next action — with the arithmetic one tap away, laid out like a receipt. The agent is orchestrated in Azure AI Foundry; the engine runs as a container in Azure and serves both the agent's tools and the app's one route; the engine and the React frontend live in one repository and share one module, so nothing is ever computed twice.</w:t>
      </w:r>
    </w:p>
    <w:p>
      <w:pPr>
        <w:pStyle w:val="Heading2"/>
        <w:pBdr>
          <w:bottom w:val="single" w:color="D9E1DD" w:sz="6" w:space="4"/>
        </w:pBdr>
        <w:spacing w:after="120" w:before="280"/>
      </w:pPr>
      <w:r>
        <w:rPr>
          <w:b/>
          <w:bCs/>
          <w:caps w:val="false"/>
          <w:color w:val="1C6B49"/>
          <w:sz w:val="24"/>
          <w:szCs w:val="24"/>
        </w:rPr>
        <w:t xml:space="preserve">Why Now?</w:t>
      </w:r>
    </w:p>
    <w:p>
      <w:pPr>
        <w:pStyle w:val="ListParagraph"/>
        <w:numPr>
          <w:ilvl w:val="0"/>
          <w:numId w:val="2"/>
        </w:numPr>
        <w:spacing w:after="80"/>
      </w:pPr>
      <w:r>
        <w:rPr>
          <w:b/>
          <w:bCs/>
          <w:color w:val="131C18"/>
          <w:sz w:val="21"/>
          <w:szCs w:val="21"/>
        </w:rPr>
        <w:t xml:space="preserve">The population is huge and under-served.</w:t>
      </w:r>
      <w:r>
        <w:rPr>
          <w:color w:val="131C18"/>
          <w:sz w:val="21"/>
          <w:szCs w:val="21"/>
        </w:rPr>
        <w:t xml:space="preserve"> 97.6M US adults have prediabetes and over 80% don't know it; diet is first-line treatment, yet only a low single-digit share of eligible Medicare beneficiaries ever use the nutrition therapy they are entitled to. </w:t>
      </w:r>
      <w:r>
        <w:rPr>
          <w:b/>
          <w:bCs/>
          <w:color w:val="131C18"/>
          <w:sz w:val="21"/>
          <w:szCs w:val="21"/>
        </w:rPr>
        <w:t xml:space="preserve">[verify — CDC, ADA]</w:t>
      </w:r>
    </w:p>
    <w:p>
      <w:pPr>
        <w:pStyle w:val="ListParagraph"/>
        <w:numPr>
          <w:ilvl w:val="0"/>
          <w:numId w:val="2"/>
        </w:numPr>
        <w:spacing w:after="80"/>
      </w:pPr>
      <w:r>
        <w:rPr>
          <w:b/>
          <w:bCs/>
          <w:color w:val="131C18"/>
          <w:sz w:val="21"/>
          <w:szCs w:val="21"/>
        </w:rPr>
        <w:t xml:space="preserve">The market has been educated.</w:t>
      </w:r>
      <w:r>
        <w:rPr>
          <w:color w:val="131C18"/>
          <w:sz w:val="21"/>
          <w:szCs w:val="21"/>
        </w:rPr>
        <w:t xml:space="preserve"> ZOE, Levels and Nutrisense taught consumers what a glycemic response is — then gated it behind $100+/month sensors.</w:t>
      </w:r>
    </w:p>
    <w:p>
      <w:pPr>
        <w:pStyle w:val="ListParagraph"/>
        <w:numPr>
          <w:ilvl w:val="0"/>
          <w:numId w:val="2"/>
        </w:numPr>
        <w:spacing w:after="80"/>
      </w:pPr>
      <w:r>
        <w:rPr>
          <w:b/>
          <w:bCs/>
          <w:color w:val="131C18"/>
          <w:sz w:val="21"/>
          <w:szCs w:val="21"/>
        </w:rPr>
        <w:t xml:space="preserve">The technology just became trustworthy.</w:t>
      </w:r>
      <w:r>
        <w:rPr>
          <w:color w:val="131C18"/>
          <w:sz w:val="21"/>
          <w:szCs w:val="21"/>
        </w:rPr>
        <w:t xml:space="preserve"> Tool-calling models make free-text meal understanding cheap; a deterministic core makes the numbers reproducible. Neither was true two years ago, and a general chatbot still gives two different glycemic loads for the same meal.</w:t>
      </w:r>
    </w:p>
    <w:p>
      <w:pPr>
        <w:pStyle w:val="ListParagraph"/>
        <w:numPr>
          <w:ilvl w:val="0"/>
          <w:numId w:val="2"/>
        </w:numPr>
        <w:spacing w:after="80"/>
      </w:pPr>
      <w:r>
        <w:rPr>
          <w:b/>
          <w:bCs/>
          <w:color w:val="131C18"/>
          <w:sz w:val="21"/>
          <w:szCs w:val="21"/>
        </w:rPr>
        <w:t xml:space="preserve">No one shows the arithmetic.</w:t>
      </w:r>
      <w:r>
        <w:rPr>
          <w:color w:val="131C18"/>
          <w:sz w:val="21"/>
          <w:szCs w:val="21"/>
        </w:rPr>
        <w:t xml:space="preserve"> Levels and ZOE give a score you cannot question; MyFitnessPal gives a database and 3–5 minutes of work per meal with no glycemic index at all; GI-lookup apps give a table with no verdict. The legible answer is an open position.</w:t>
      </w:r>
    </w:p>
    <w:p>
      <w:pPr>
        <w:pStyle w:val="Heading2"/>
        <w:pBdr>
          <w:bottom w:val="single" w:color="D9E1DD" w:sz="6" w:space="4"/>
        </w:pBdr>
        <w:spacing w:after="120" w:before="280"/>
      </w:pPr>
      <w:r>
        <w:rPr>
          <w:b/>
          <w:bCs/>
          <w:caps w:val="false"/>
          <w:color w:val="1C6B49"/>
          <w:sz w:val="24"/>
          <w:szCs w:val="24"/>
        </w:rPr>
        <w:t xml:space="preserve">Success Metrics</w:t>
      </w:r>
    </w:p>
    <w:p>
      <w:pPr>
        <w:spacing w:after="140"/>
        <w:jc w:val="left"/>
      </w:pPr>
      <w:r>
        <w:rPr>
          <w:color w:val="131C18"/>
          <w:sz w:val="21"/>
          <w:szCs w:val="21"/>
        </w:rPr>
        <w:t xml:space="preserve">Current column measured on 23 September 2026: 15 agent cases run against the deployed agent, 13 passed.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600"/>
      </w:tblGrid>
      <w:tr>
        <w:trPr>
          <w:tblHeader/>
        </w:trPr>
        <w:tc>
          <w:tcPr>
            <w:tcW w:type="dxa" w:w="4200"/>
            <w:shd w:fill="EAF0EC" w:color="auto" w:val="clear"/>
            <w:tcMar>
              <w:top w:type="dxa" w:w="80"/>
              <w:left w:type="dxa" w:w="120"/>
              <w:bottom w:type="dxa" w:w="80"/>
              <w:right w:type="dxa" w:w="120"/>
            </w:tcMar>
          </w:tcPr>
          <w:p>
            <w:r>
              <w:rPr>
                <w:b/>
                <w:bCs/>
                <w:color w:val="131C18"/>
                <w:sz w:val="19"/>
                <w:szCs w:val="19"/>
              </w:rPr>
              <w:t xml:space="preserve">Metric</w:t>
            </w:r>
          </w:p>
        </w:tc>
        <w:tc>
          <w:tcPr>
            <w:tcW w:type="dxa" w:w="2600"/>
            <w:shd w:fill="EAF0EC" w:color="auto" w:val="clear"/>
            <w:tcMar>
              <w:top w:type="dxa" w:w="80"/>
              <w:left w:type="dxa" w:w="120"/>
              <w:bottom w:type="dxa" w:w="80"/>
              <w:right w:type="dxa" w:w="120"/>
            </w:tcMar>
          </w:tcPr>
          <w:p>
            <w:r>
              <w:rPr>
                <w:b/>
                <w:bCs/>
                <w:color w:val="131C18"/>
                <w:sz w:val="19"/>
                <w:szCs w:val="19"/>
              </w:rPr>
              <w:t xml:space="preserve">Current</w:t>
            </w:r>
          </w:p>
        </w:tc>
        <w:tc>
          <w:tcPr>
            <w:tcW w:type="dxa" w:w="2600"/>
            <w:shd w:fill="EAF0EC" w:color="auto" w:val="clear"/>
            <w:tcMar>
              <w:top w:type="dxa" w:w="80"/>
              <w:left w:type="dxa" w:w="120"/>
              <w:bottom w:type="dxa" w:w="80"/>
              <w:right w:type="dxa" w:w="120"/>
            </w:tcMar>
          </w:tcPr>
          <w:p>
            <w:r>
              <w:rPr>
                <w:b/>
                <w:bCs/>
                <w:color w:val="131C18"/>
                <w:sz w:val="19"/>
                <w:szCs w:val="19"/>
              </w:rPr>
              <w:t xml:space="preserve">Target (demo, Week 5)</w:t>
            </w:r>
          </w:p>
        </w:tc>
      </w:tr>
      <w:tr>
        <w:trPr>
          <w:tblHeader w:val="false"/>
        </w:trPr>
        <w:tc>
          <w:tcPr>
            <w:tcW w:type="dxa" w:w="4200"/>
            <w:tcMar>
              <w:top w:type="dxa" w:w="80"/>
              <w:left w:type="dxa" w:w="120"/>
              <w:bottom w:type="dxa" w:w="80"/>
              <w:right w:type="dxa" w:w="120"/>
            </w:tcMar>
          </w:tcPr>
          <w:p>
            <w:r>
              <w:rPr>
                <w:b w:val="false"/>
                <w:bCs w:val="false"/>
                <w:color w:val="131C18"/>
                <w:sz w:val="19"/>
                <w:szCs w:val="19"/>
              </w:rPr>
              <w:t xml:space="preserve">Ungrounded numbers in agent output</w:t>
            </w:r>
          </w:p>
        </w:tc>
        <w:tc>
          <w:tcPr>
            <w:tcW w:type="dxa" w:w="2600"/>
            <w:tcMar>
              <w:top w:type="dxa" w:w="80"/>
              <w:left w:type="dxa" w:w="120"/>
              <w:bottom w:type="dxa" w:w="80"/>
              <w:right w:type="dxa" w:w="120"/>
            </w:tcMar>
          </w:tcPr>
          <w:p>
            <w:r>
              <w:rPr>
                <w:b w:val="false"/>
                <w:bCs w:val="false"/>
                <w:color w:val="131C18"/>
                <w:sz w:val="19"/>
                <w:szCs w:val="19"/>
              </w:rPr>
              <w:t xml:space="preserve">0</w:t>
            </w:r>
            <w:r>
              <w:rPr>
                <w:b w:val="false"/>
                <w:bCs w:val="false"/>
                <w:color w:val="131C18"/>
                <w:sz w:val="19"/>
                <w:szCs w:val="19"/>
              </w:rPr>
              <w:t xml:space="preserve"> across the run</w:t>
            </w:r>
          </w:p>
        </w:tc>
        <w:tc>
          <w:tcPr>
            <w:tcW w:type="dxa" w:w="2600"/>
            <w:tcMar>
              <w:top w:type="dxa" w:w="80"/>
              <w:left w:type="dxa" w:w="120"/>
              <w:bottom w:type="dxa" w:w="80"/>
              <w:right w:type="dxa" w:w="120"/>
            </w:tcMar>
          </w:tcPr>
          <w:p>
            <w:r>
              <w:rPr>
                <w:b w:val="false"/>
                <w:bCs w:val="false"/>
                <w:color w:val="131C18"/>
                <w:sz w:val="19"/>
                <w:szCs w:val="19"/>
              </w:rPr>
              <w:t xml:space="preserve">0</w:t>
            </w:r>
            <w:r>
              <w:rPr>
                <w:b w:val="false"/>
                <w:bCs w:val="false"/>
                <w:color w:val="131C18"/>
                <w:sz w:val="19"/>
                <w:szCs w:val="19"/>
              </w:rPr>
              <w:t xml:space="preserve"> across the eval set</w:t>
            </w:r>
          </w:p>
        </w:tc>
      </w:tr>
      <w:tr>
        <w:trPr>
          <w:tblHeader w:val="false"/>
        </w:trPr>
        <w:tc>
          <w:tcPr>
            <w:tcW w:type="dxa" w:w="4200"/>
            <w:tcMar>
              <w:top w:type="dxa" w:w="80"/>
              <w:left w:type="dxa" w:w="120"/>
              <w:bottom w:type="dxa" w:w="80"/>
              <w:right w:type="dxa" w:w="120"/>
            </w:tcMar>
          </w:tcPr>
          <w:p>
            <w:r>
              <w:rPr>
                <w:b w:val="false"/>
                <w:bCs w:val="false"/>
                <w:color w:val="131C18"/>
                <w:sz w:val="19"/>
                <w:szCs w:val="19"/>
              </w:rPr>
              <w:t xml:space="preserve">Insulin-dosing refusals</w:t>
            </w:r>
          </w:p>
        </w:tc>
        <w:tc>
          <w:tcPr>
            <w:tcW w:type="dxa" w:w="2600"/>
            <w:tcMar>
              <w:top w:type="dxa" w:w="80"/>
              <w:left w:type="dxa" w:w="120"/>
              <w:bottom w:type="dxa" w:w="80"/>
              <w:right w:type="dxa" w:w="120"/>
            </w:tcMar>
          </w:tcPr>
          <w:p>
            <w:r>
              <w:rPr>
                <w:b w:val="false"/>
                <w:bCs w:val="false"/>
                <w:color w:val="131C18"/>
                <w:sz w:val="19"/>
                <w:szCs w:val="19"/>
              </w:rPr>
              <w:t xml:space="preserve">100%</w:t>
            </w:r>
            <w:r>
              <w:rPr>
                <w:b w:val="false"/>
                <w:bCs w:val="false"/>
                <w:color w:val="131C18"/>
                <w:sz w:val="19"/>
                <w:szCs w:val="19"/>
              </w:rPr>
              <w:t xml:space="preserve"> on the scripted probes</w:t>
            </w:r>
          </w:p>
        </w:tc>
        <w:tc>
          <w:tcPr>
            <w:tcW w:type="dxa" w:w="2600"/>
            <w:tcMar>
              <w:top w:type="dxa" w:w="80"/>
              <w:left w:type="dxa" w:w="120"/>
              <w:bottom w:type="dxa" w:w="80"/>
              <w:right w:type="dxa" w:w="120"/>
            </w:tcMar>
          </w:tcPr>
          <w:p>
            <w:r>
              <w:rPr>
                <w:b w:val="false"/>
                <w:bCs w:val="false"/>
                <w:color w:val="131C18"/>
                <w:sz w:val="19"/>
                <w:szCs w:val="19"/>
              </w:rPr>
              <w:t xml:space="preserve">100%</w:t>
            </w:r>
            <w:r>
              <w:rPr>
                <w:b w:val="false"/>
                <w:bCs w:val="false"/>
                <w:color w:val="131C18"/>
                <w:sz w:val="19"/>
                <w:szCs w:val="19"/>
              </w:rPr>
              <w:t xml:space="preserve"> on scripted probes</w:t>
            </w:r>
          </w:p>
        </w:tc>
      </w:tr>
      <w:tr>
        <w:trPr>
          <w:tblHeader w:val="false"/>
        </w:trPr>
        <w:tc>
          <w:tcPr>
            <w:tcW w:type="dxa" w:w="4200"/>
            <w:tcMar>
              <w:top w:type="dxa" w:w="80"/>
              <w:left w:type="dxa" w:w="120"/>
              <w:bottom w:type="dxa" w:w="80"/>
              <w:right w:type="dxa" w:w="120"/>
            </w:tcMar>
          </w:tcPr>
          <w:p>
            <w:r>
              <w:rPr>
                <w:b w:val="false"/>
                <w:bCs w:val="false"/>
                <w:color w:val="131C18"/>
                <w:sz w:val="19"/>
                <w:szCs w:val="19"/>
              </w:rPr>
              <w:t xml:space="preserve">Red-flag escalation</w:t>
            </w:r>
          </w:p>
        </w:tc>
        <w:tc>
          <w:tcPr>
            <w:tcW w:type="dxa" w:w="2600"/>
            <w:tcMar>
              <w:top w:type="dxa" w:w="80"/>
              <w:left w:type="dxa" w:w="120"/>
              <w:bottom w:type="dxa" w:w="80"/>
              <w:right w:type="dxa" w:w="120"/>
            </w:tcMar>
          </w:tcPr>
          <w:p>
            <w:r>
              <w:rPr>
                <w:b w:val="false"/>
                <w:bCs w:val="false"/>
                <w:color w:val="131C18"/>
                <w:sz w:val="19"/>
                <w:szCs w:val="19"/>
              </w:rPr>
              <w:t xml:space="preserve">100%</w:t>
            </w:r>
            <w:r>
              <w:rPr>
                <w:b w:val="false"/>
                <w:bCs w:val="false"/>
                <w:color w:val="131C18"/>
                <w:sz w:val="19"/>
                <w:szCs w:val="19"/>
              </w:rPr>
              <w:t xml:space="preserve"> on the scripted probes</w:t>
            </w:r>
          </w:p>
        </w:tc>
        <w:tc>
          <w:tcPr>
            <w:tcW w:type="dxa" w:w="2600"/>
            <w:tcMar>
              <w:top w:type="dxa" w:w="80"/>
              <w:left w:type="dxa" w:w="120"/>
              <w:bottom w:type="dxa" w:w="80"/>
              <w:right w:type="dxa" w:w="120"/>
            </w:tcMar>
          </w:tcPr>
          <w:p>
            <w:r>
              <w:rPr>
                <w:b w:val="false"/>
                <w:bCs w:val="false"/>
                <w:color w:val="131C18"/>
                <w:sz w:val="19"/>
                <w:szCs w:val="19"/>
              </w:rPr>
              <w:t xml:space="preserve">100%</w:t>
            </w:r>
            <w:r>
              <w:rPr>
                <w:b w:val="false"/>
                <w:bCs w:val="false"/>
                <w:color w:val="131C18"/>
                <w:sz w:val="19"/>
                <w:szCs w:val="19"/>
              </w:rPr>
              <w:t xml:space="preserve"> on scripted probes</w:t>
            </w:r>
          </w:p>
        </w:tc>
      </w:tr>
      <w:tr>
        <w:trPr>
          <w:tblHeader w:val="false"/>
        </w:trPr>
        <w:tc>
          <w:tcPr>
            <w:tcW w:type="dxa" w:w="4200"/>
            <w:tcMar>
              <w:top w:type="dxa" w:w="80"/>
              <w:left w:type="dxa" w:w="120"/>
              <w:bottom w:type="dxa" w:w="80"/>
              <w:right w:type="dxa" w:w="120"/>
            </w:tcMar>
          </w:tcPr>
          <w:p>
            <w:r>
              <w:rPr>
                <w:b w:val="false"/>
                <w:bCs w:val="false"/>
                <w:color w:val="131C18"/>
                <w:sz w:val="19"/>
                <w:szCs w:val="19"/>
              </w:rPr>
              <w:t xml:space="preserve">Meal-parsing accuracy (top-1, ~100 labelled meals)</w:t>
            </w:r>
          </w:p>
        </w:tc>
        <w:tc>
          <w:tcPr>
            <w:tcW w:type="dxa" w:w="2600"/>
            <w:tcMar>
              <w:top w:type="dxa" w:w="80"/>
              <w:left w:type="dxa" w:w="120"/>
              <w:bottom w:type="dxa" w:w="80"/>
              <w:right w:type="dxa" w:w="120"/>
            </w:tcMar>
          </w:tcPr>
          <w:p>
            <w:r>
              <w:rPr>
                <w:b w:val="false"/>
                <w:bCs w:val="false"/>
                <w:color w:val="131C18"/>
                <w:sz w:val="19"/>
                <w:szCs w:val="19"/>
              </w:rPr>
              <w:t xml:space="preserve">not measured — the labelled set is next</w:t>
            </w:r>
          </w:p>
        </w:tc>
        <w:tc>
          <w:tcPr>
            <w:tcW w:type="dxa" w:w="2600"/>
            <w:tcMar>
              <w:top w:type="dxa" w:w="80"/>
              <w:left w:type="dxa" w:w="120"/>
              <w:bottom w:type="dxa" w:w="80"/>
              <w:right w:type="dxa" w:w="120"/>
            </w:tcMar>
          </w:tcPr>
          <w:p>
            <w:r>
              <w:rPr>
                <w:b w:val="false"/>
                <w:bCs w:val="false"/>
                <w:color w:val="131C18"/>
                <w:sz w:val="19"/>
                <w:szCs w:val="19"/>
              </w:rPr>
              <w:t xml:space="preserve">reported</w:t>
            </w:r>
            <w:r>
              <w:rPr>
                <w:b w:val="false"/>
                <w:bCs w:val="false"/>
                <w:color w:val="131C18"/>
                <w:sz w:val="19"/>
                <w:szCs w:val="19"/>
              </w:rPr>
              <w:t xml:space="preserve">, not promised</w:t>
            </w:r>
          </w:p>
        </w:tc>
      </w:tr>
      <w:tr>
        <w:trPr>
          <w:tblHeader w:val="false"/>
        </w:trPr>
        <w:tc>
          <w:tcPr>
            <w:tcW w:type="dxa" w:w="4200"/>
            <w:tcMar>
              <w:top w:type="dxa" w:w="80"/>
              <w:left w:type="dxa" w:w="120"/>
              <w:bottom w:type="dxa" w:w="80"/>
              <w:right w:type="dxa" w:w="120"/>
            </w:tcMar>
          </w:tcPr>
          <w:p>
            <w:r>
              <w:rPr>
                <w:b w:val="false"/>
                <w:bCs w:val="false"/>
                <w:color w:val="131C18"/>
                <w:sz w:val="19"/>
                <w:szCs w:val="19"/>
              </w:rPr>
              <w:t xml:space="preserve">Agent answer latency, p90</w:t>
            </w:r>
          </w:p>
        </w:tc>
        <w:tc>
          <w:tcPr>
            <w:tcW w:type="dxa" w:w="2600"/>
            <w:tcMar>
              <w:top w:type="dxa" w:w="80"/>
              <w:left w:type="dxa" w:w="120"/>
              <w:bottom w:type="dxa" w:w="80"/>
              <w:right w:type="dxa" w:w="120"/>
            </w:tcMar>
          </w:tcPr>
          <w:p>
            <w:r>
              <w:rPr>
                <w:b w:val="false"/>
                <w:bCs w:val="false"/>
                <w:color w:val="131C18"/>
                <w:sz w:val="19"/>
                <w:szCs w:val="19"/>
              </w:rPr>
              <w:t xml:space="preserve">~20 s</w:t>
            </w:r>
            <w:r>
              <w:rPr>
                <w:b w:val="false"/>
                <w:bCs w:val="false"/>
                <w:color w:val="131C18"/>
                <w:sz w:val="19"/>
                <w:szCs w:val="19"/>
              </w:rPr>
              <w:t xml:space="preserve"> for a four-tool turn — missed</w:t>
            </w:r>
          </w:p>
        </w:tc>
        <w:tc>
          <w:tcPr>
            <w:tcW w:type="dxa" w:w="2600"/>
            <w:tcMar>
              <w:top w:type="dxa" w:w="80"/>
              <w:left w:type="dxa" w:w="120"/>
              <w:bottom w:type="dxa" w:w="80"/>
              <w:right w:type="dxa" w:w="120"/>
            </w:tcMar>
          </w:tcPr>
          <w:p>
            <w:r>
              <w:rPr>
                <w:b w:val="false"/>
                <w:bCs w:val="false"/>
                <w:color w:val="131C18"/>
                <w:sz w:val="19"/>
                <w:szCs w:val="19"/>
              </w:rPr>
              <w:t xml:space="preserve">&lt; 10 s</w:t>
            </w:r>
          </w:p>
        </w:tc>
      </w:tr>
      <w:tr>
        <w:trPr>
          <w:tblHeader w:val="false"/>
        </w:trPr>
        <w:tc>
          <w:tcPr>
            <w:tcW w:type="dxa" w:w="4200"/>
            <w:tcMar>
              <w:top w:type="dxa" w:w="80"/>
              <w:left w:type="dxa" w:w="120"/>
              <w:bottom w:type="dxa" w:w="80"/>
              <w:right w:type="dxa" w:w="120"/>
            </w:tcMar>
          </w:tcPr>
          <w:p>
            <w:r>
              <w:rPr>
                <w:b w:val="false"/>
                <w:bCs w:val="false"/>
                <w:i/>
                <w:iCs/>
                <w:color w:val="131C18"/>
                <w:sz w:val="19"/>
                <w:szCs w:val="19"/>
              </w:rPr>
              <w:t xml:space="preserve">Product North Star (post-launch):</w:t>
            </w:r>
            <w:r>
              <w:rPr>
                <w:b w:val="false"/>
                <w:bCs w:val="false"/>
                <w:color w:val="131C18"/>
                <w:sz w:val="19"/>
                <w:szCs w:val="19"/>
              </w:rPr>
              <w:t xml:space="preserve"> in-range days per active user per week</w:t>
            </w:r>
          </w:p>
        </w:tc>
        <w:tc>
          <w:tcPr>
            <w:tcW w:type="dxa" w:w="2600"/>
            <w:tcMar>
              <w:top w:type="dxa" w:w="80"/>
              <w:left w:type="dxa" w:w="120"/>
              <w:bottom w:type="dxa" w:w="80"/>
              <w:right w:type="dxa" w:w="120"/>
            </w:tcMar>
          </w:tcPr>
          <w:p>
            <w:r>
              <w:rPr>
                <w:b w:val="false"/>
                <w:bCs w:val="false"/>
                <w:color w:val="131C18"/>
                <w:sz w:val="19"/>
                <w:szCs w:val="19"/>
              </w:rPr>
              <w:t xml:space="preserve">—</w:t>
            </w:r>
          </w:p>
        </w:tc>
        <w:tc>
          <w:tcPr>
            <w:tcW w:type="dxa" w:w="2600"/>
            <w:tcMar>
              <w:top w:type="dxa" w:w="80"/>
              <w:left w:type="dxa" w:w="120"/>
              <w:bottom w:type="dxa" w:w="80"/>
              <w:right w:type="dxa" w:w="120"/>
            </w:tcMar>
          </w:tcPr>
          <w:p>
            <w:r>
              <w:rPr>
                <w:b w:val="false"/>
                <w:bCs w:val="false"/>
                <w:color w:val="131C18"/>
                <w:sz w:val="19"/>
                <w:szCs w:val="19"/>
              </w:rPr>
              <w:t xml:space="preserve">median 4.5 / 7 by week 8</w:t>
            </w:r>
          </w:p>
        </w:tc>
      </w:tr>
    </w:tbl>
    <w:p>
      <w:pPr>
        <w:spacing w:after="120"/>
      </w:pPr>
    </w:p>
    <w:p>
      <w:pPr>
        <w:pStyle w:val="Heading2"/>
        <w:pBdr>
          <w:bottom w:val="single" w:color="D9E1DD" w:sz="6" w:space="4"/>
        </w:pBdr>
        <w:spacing w:after="120" w:before="280"/>
      </w:pPr>
      <w:r>
        <w:rPr>
          <w:b/>
          <w:bCs/>
          <w:caps w:val="false"/>
          <w:color w:val="1C6B49"/>
          <w:sz w:val="24"/>
          <w:szCs w:val="24"/>
        </w:rPr>
        <w:t xml:space="preserve">Scope</w:t>
      </w:r>
    </w:p>
    <w:p>
      <w:pPr>
        <w:spacing w:after="140"/>
        <w:jc w:val="left"/>
      </w:pPr>
      <w:r>
        <w:rPr>
          <w:b/>
          <w:bCs/>
          <w:color w:val="131C18"/>
          <w:sz w:val="21"/>
          <w:szCs w:val="21"/>
        </w:rPr>
        <w:t xml:space="preserve">In (V0):</w:t>
      </w:r>
      <w:r>
        <w:rPr>
          <w:color w:val="131C18"/>
          <w:sz w:val="21"/>
          <w:szCs w:val="21"/>
        </w:rPr>
        <w:t xml:space="preserve"> free-text meal → computed glycemic load → verdict with reason · verifier and a visible trace of every tool call · personal targets with their derivation · safety envelope (no dosing, red-flag escalation, honest "no verified data") · a measured evaluation set · weekly menu generator, already built, carried as-is</w:t>
      </w:r>
    </w:p>
    <w:p>
      <w:pPr>
        <w:spacing w:after="140"/>
        <w:jc w:val="left"/>
      </w:pPr>
      <w:r>
        <w:rPr>
          <w:b/>
          <w:bCs/>
          <w:color w:val="131C18"/>
          <w:sz w:val="21"/>
          <w:szCs w:val="21"/>
        </w:rPr>
        <w:t xml:space="preserve">Out:</w:t>
      </w:r>
      <w:r>
        <w:rPr>
          <w:color w:val="131C18"/>
          <w:sz w:val="21"/>
          <w:szCs w:val="21"/>
        </w:rPr>
        <w:t xml:space="preserve"> photo and voice logging · accounts, sync, export · personalisation from history · broad food coverage · clinical review · T1D on intensive insulin, children, pregnancy, CKD</w:t>
      </w:r>
    </w:p>
    <w:p>
      <w:pPr>
        <w:pStyle w:val="Heading2"/>
        <w:pBdr>
          <w:bottom w:val="single" w:color="D9E1DD" w:sz="6" w:space="4"/>
        </w:pBdr>
        <w:spacing w:after="120" w:before="280"/>
      </w:pPr>
      <w:r>
        <w:rPr>
          <w:b/>
          <w:bCs/>
          <w:caps w:val="false"/>
          <w:color w:val="1C6B49"/>
          <w:sz w:val="24"/>
          <w:szCs w:val="24"/>
        </w:rPr>
        <w:t xml:space="preserve">User Flow</w:t>
      </w:r>
    </w:p>
    <w:p>
      <w:pPr>
        <w:spacing w:after="140"/>
        <w:jc w:val="left"/>
      </w:pPr>
      <w:r>
        <w:rPr>
          <w:color w:val="131C18"/>
          <w:sz w:val="21"/>
          <w:szCs w:val="21"/>
        </w:rPr>
        <w:t xml:space="preserve">Type a meal → agent resolves foods, asks one question if unsure → engine computes carbs, glycemic load, and remaining daily budget → verifier checks every number against tool results → verdict + number + reason + action, with </w:t>
      </w:r>
      <w:r>
        <w:rPr>
          <w:b/>
          <w:bCs/>
          <w:color w:val="131C18"/>
          <w:sz w:val="21"/>
          <w:szCs w:val="21"/>
        </w:rPr>
        <w:t xml:space="preserve">Show calculation</w:t>
      </w:r>
      <w:r>
        <w:rPr>
          <w:color w:val="131C18"/>
          <w:sz w:val="21"/>
          <w:szCs w:val="21"/>
        </w:rPr>
        <w:t xml:space="preserve"> and the tool trace one tap away</w:t>
      </w:r>
    </w:p>
    <w:p>
      <w:pPr>
        <w:pStyle w:val="Heading2"/>
        <w:pBdr>
          <w:bottom w:val="single" w:color="D9E1DD" w:sz="6" w:space="4"/>
        </w:pBdr>
        <w:spacing w:after="120" w:before="280"/>
      </w:pPr>
      <w:r>
        <w:rPr>
          <w:b/>
          <w:bCs/>
          <w:caps w:val="false"/>
          <w:color w:val="1C6B49"/>
          <w:sz w:val="24"/>
          <w:szCs w:val="24"/>
        </w:rPr>
        <w:t xml:space="preserve">Risks</w:t>
      </w:r>
    </w:p>
    <w:p>
      <w:pPr>
        <w:pStyle w:val="ListParagraph"/>
        <w:numPr>
          <w:ilvl w:val="0"/>
          <w:numId w:val="3"/>
        </w:numPr>
        <w:spacing w:after="80"/>
      </w:pPr>
      <w:r>
        <w:rPr>
          <w:b/>
          <w:bCs/>
          <w:color w:val="131C18"/>
          <w:sz w:val="21"/>
          <w:szCs w:val="21"/>
        </w:rPr>
        <w:t xml:space="preserve">Two copies of the arithmetic drift apart</w:t>
      </w:r>
      <w:r>
        <w:rPr>
          <w:color w:val="131C18"/>
          <w:sz w:val="21"/>
          <w:szCs w:val="21"/>
        </w:rPr>
        <w:t xml:space="preserve"> → the browser and the engine service import the same </w:t>
      </w:r>
      <w:r>
        <w:rPr>
          <w:rFonts w:ascii="Consolas" w:cs="Consolas" w:eastAsia="Consolas" w:hAnsi="Consolas"/>
          <w:color w:val="131C18"/>
          <w:sz w:val="21"/>
          <w:szCs w:val="21"/>
        </w:rPr>
        <w:t xml:space="preserve">src/lib</w:t>
      </w:r>
      <w:r>
        <w:rPr>
          <w:color w:val="131C18"/>
          <w:sz w:val="21"/>
          <w:szCs w:val="21"/>
        </w:rPr>
        <w:t xml:space="preserve"> module; the API contract is fixed before the agent is wired, so nothing is ever re-implemented</w:t>
      </w:r>
    </w:p>
    <w:p>
      <w:pPr>
        <w:pStyle w:val="ListParagraph"/>
        <w:numPr>
          <w:ilvl w:val="0"/>
          <w:numId w:val="3"/>
        </w:numPr>
        <w:spacing w:after="80"/>
      </w:pPr>
      <w:r>
        <w:rPr>
          <w:b/>
          <w:bCs/>
          <w:color w:val="131C18"/>
          <w:sz w:val="21"/>
          <w:szCs w:val="21"/>
        </w:rPr>
        <w:t xml:space="preserve">Food data eats the schedule</w:t>
      </w:r>
      <w:r>
        <w:rPr>
          <w:color w:val="131C18"/>
          <w:sz w:val="21"/>
          <w:szCs w:val="21"/>
        </w:rPr>
        <w:t xml:space="preserve"> → a 1,000-recipe base on 350 ingredients now computes dish GI deterministically from ingredient GI; unknown foods are named as unknown, never guessed; ingredient values still need source-by-source verification</w:t>
      </w:r>
    </w:p>
    <w:p>
      <w:pPr>
        <w:pStyle w:val="ListParagraph"/>
        <w:numPr>
          <w:ilvl w:val="0"/>
          <w:numId w:val="3"/>
        </w:numPr>
        <w:spacing w:after="80"/>
      </w:pPr>
      <w:r>
        <w:rPr>
          <w:b/>
          <w:bCs/>
          <w:color w:val="131C18"/>
          <w:sz w:val="21"/>
          <w:szCs w:val="21"/>
        </w:rPr>
        <w:t xml:space="preserve">FDA general-wellness line</w:t>
      </w:r>
      <w:r>
        <w:rPr>
          <w:color w:val="131C18"/>
          <w:sz w:val="21"/>
          <w:szCs w:val="21"/>
        </w:rPr>
        <w:t xml:space="preserve"> → positioned as information with a non-dismissible disclaimer; diagnosis and dosing are refused; open question for counsel</w:t>
      </w:r>
    </w:p>
    <w:p>
      <w:pPr>
        <w:pStyle w:val="ListParagraph"/>
        <w:numPr>
          <w:ilvl w:val="0"/>
          <w:numId w:val="3"/>
        </w:numPr>
        <w:spacing w:after="80"/>
      </w:pPr>
      <w:r>
        <w:rPr>
          <w:b/>
          <w:bCs/>
          <w:color w:val="131C18"/>
          <w:sz w:val="21"/>
          <w:szCs w:val="21"/>
        </w:rPr>
        <w:t xml:space="preserve">Live demo fails</w:t>
      </w:r>
      <w:r>
        <w:rPr>
          <w:color w:val="131C18"/>
          <w:sz w:val="21"/>
          <w:szCs w:val="21"/>
        </w:rPr>
        <w:t xml:space="preserve"> → backup recording made in Week 5</w:t>
      </w:r>
    </w:p>
    <w:p>
      <w:pPr>
        <w:pStyle w:val="ListParagraph"/>
        <w:numPr>
          <w:ilvl w:val="0"/>
          <w:numId w:val="3"/>
        </w:numPr>
        <w:spacing w:after="80"/>
      </w:pPr>
      <w:r>
        <w:rPr>
          <w:b/>
          <w:bCs/>
          <w:color w:val="131C18"/>
          <w:sz w:val="21"/>
          <w:szCs w:val="21"/>
        </w:rPr>
        <w:t xml:space="preserve">Parsing accuracy lands below the PRD's 90%</w:t>
      </w:r>
      <w:r>
        <w:rPr>
          <w:color w:val="131C18"/>
          <w:sz w:val="21"/>
          <w:szCs w:val="21"/>
        </w:rPr>
        <w:t xml:space="preserve"> → the measured number is reported with its method; a stated 78% beats an unmeasured 90%</w:t>
      </w:r>
    </w:p>
    <w:p>
      <w:pPr>
        <w:pStyle w:val="Heading2"/>
        <w:pBdr>
          <w:bottom w:val="single" w:color="D9E1DD" w:sz="6" w:space="4"/>
        </w:pBdr>
        <w:spacing w:after="120" w:before="280"/>
      </w:pPr>
      <w:r>
        <w:rPr>
          <w:b/>
          <w:bCs/>
          <w:caps w:val="false"/>
          <w:color w:val="1C6B49"/>
          <w:sz w:val="24"/>
          <w:szCs w:val="24"/>
        </w:rPr>
        <w:t xml:space="preserve">Timeline</w:t>
      </w:r>
    </w:p>
    <w:p>
      <w:pPr>
        <w:pStyle w:val="ListParagraph"/>
        <w:numPr>
          <w:ilvl w:val="0"/>
          <w:numId w:val="2"/>
        </w:numPr>
        <w:spacing w:after="80"/>
      </w:pPr>
      <w:r>
        <w:rPr>
          <w:b/>
          <w:bCs/>
          <w:color w:val="131C18"/>
          <w:sz w:val="21"/>
          <w:szCs w:val="21"/>
        </w:rPr>
        <w:t xml:space="preserve">Week 1</w:t>
      </w:r>
      <w:r>
        <w:rPr>
          <w:color w:val="131C18"/>
          <w:sz w:val="21"/>
          <w:szCs w:val="21"/>
        </w:rPr>
        <w:t xml:space="preserve"> — environment, engine verified end to end, English UI, design direction and clickable prototype ✅ </w:t>
      </w:r>
      <w:r>
        <w:rPr>
          <w:i/>
          <w:iCs/>
          <w:color w:val="131C18"/>
          <w:sz w:val="21"/>
          <w:szCs w:val="21"/>
        </w:rPr>
        <w:t xml:space="preserve">done</w:t>
      </w:r>
    </w:p>
    <w:p>
      <w:pPr>
        <w:pStyle w:val="ListParagraph"/>
        <w:numPr>
          <w:ilvl w:val="0"/>
          <w:numId w:val="2"/>
        </w:numPr>
        <w:spacing w:after="80"/>
      </w:pPr>
      <w:r>
        <w:rPr>
          <w:b/>
          <w:bCs/>
          <w:color w:val="131C18"/>
          <w:sz w:val="21"/>
          <w:szCs w:val="21"/>
        </w:rPr>
        <w:t xml:space="preserve">Week 2</w:t>
      </w:r>
      <w:r>
        <w:rPr>
          <w:color w:val="131C18"/>
          <w:sz w:val="21"/>
          <w:szCs w:val="21"/>
        </w:rPr>
        <w:t xml:space="preserve"> — agent loop end to end on existing seed data; engine deployed as HTTP tools ✅ </w:t>
      </w:r>
      <w:r>
        <w:rPr>
          <w:i/>
          <w:iCs/>
          <w:color w:val="131C18"/>
          <w:sz w:val="21"/>
          <w:szCs w:val="21"/>
        </w:rPr>
        <w:t xml:space="preserve">done (built in n8n, since moved to Azure AI Foundry)</w:t>
      </w:r>
    </w:p>
    <w:p>
      <w:pPr>
        <w:pStyle w:val="ListParagraph"/>
        <w:numPr>
          <w:ilvl w:val="0"/>
          <w:numId w:val="2"/>
        </w:numPr>
        <w:spacing w:after="80"/>
      </w:pPr>
      <w:r>
        <w:rPr>
          <w:b/>
          <w:bCs/>
          <w:color w:val="131C18"/>
          <w:sz w:val="21"/>
          <w:szCs w:val="21"/>
        </w:rPr>
        <w:t xml:space="preserve">Week 3</w:t>
      </w:r>
      <w:r>
        <w:rPr>
          <w:color w:val="131C18"/>
          <w:sz w:val="21"/>
          <w:szCs w:val="21"/>
        </w:rPr>
        <w:t xml:space="preserve"> — verifier and evaluation set ✅ </w:t>
      </w:r>
      <w:r>
        <w:rPr>
          <w:i/>
          <w:iCs/>
          <w:color w:val="131C18"/>
          <w:sz w:val="21"/>
          <w:szCs w:val="21"/>
        </w:rPr>
        <w:t xml:space="preserve">done; the agent evals run as one command against the deployed agent</w:t>
      </w:r>
    </w:p>
    <w:p>
      <w:pPr>
        <w:pStyle w:val="ListParagraph"/>
        <w:numPr>
          <w:ilvl w:val="0"/>
          <w:numId w:val="2"/>
        </w:numPr>
        <w:spacing w:after="80"/>
      </w:pPr>
      <w:r>
        <w:rPr>
          <w:b/>
          <w:bCs/>
          <w:color w:val="131C18"/>
          <w:sz w:val="21"/>
          <w:szCs w:val="21"/>
        </w:rPr>
        <w:t xml:space="preserve">Week 4</w:t>
      </w:r>
      <w:r>
        <w:rPr>
          <w:color w:val="131C18"/>
          <w:sz w:val="21"/>
          <w:szCs w:val="21"/>
        </w:rPr>
        <w:t xml:space="preserve"> — visible tool trace ✅ </w:t>
      </w:r>
      <w:r>
        <w:rPr>
          <w:i/>
          <w:iCs/>
          <w:color w:val="131C18"/>
          <w:sz w:val="21"/>
          <w:szCs w:val="21"/>
        </w:rPr>
        <w:t xml:space="preserve">done</w:t>
      </w:r>
      <w:r>
        <w:rPr>
          <w:color w:val="131C18"/>
          <w:sz w:val="21"/>
          <w:szCs w:val="21"/>
        </w:rPr>
        <w:t xml:space="preserve">; food data extended where demo scenarios need it; latency brought under the 10 s target</w:t>
      </w:r>
    </w:p>
    <w:p>
      <w:pPr>
        <w:pStyle w:val="ListParagraph"/>
        <w:numPr>
          <w:ilvl w:val="0"/>
          <w:numId w:val="2"/>
        </w:numPr>
        <w:spacing w:after="80"/>
      </w:pPr>
      <w:r>
        <w:rPr>
          <w:b/>
          <w:bCs/>
          <w:color w:val="131C18"/>
          <w:sz w:val="21"/>
          <w:szCs w:val="21"/>
        </w:rPr>
        <w:t xml:space="preserve">Week 5</w:t>
      </w:r>
      <w:r>
        <w:rPr>
          <w:color w:val="131C18"/>
          <w:sz w:val="21"/>
          <w:szCs w:val="21"/>
        </w:rPr>
        <w:t xml:space="preserve"> — rehearsal, backup recording, remaining PRD sections, buffer</w:t>
      </w:r>
    </w:p>
    <w:p>
      <w:pPr>
        <w:pStyle w:val="Heading2"/>
        <w:pBdr>
          <w:bottom w:val="single" w:color="D9E1DD" w:sz="6" w:space="4"/>
        </w:pBdr>
        <w:spacing w:after="120" w:before="280"/>
      </w:pPr>
      <w:r>
        <w:rPr>
          <w:b/>
          <w:bCs/>
          <w:caps w:val="false"/>
          <w:color w:val="1C6B49"/>
          <w:sz w:val="24"/>
          <w:szCs w:val="24"/>
        </w:rPr>
        <w:t xml:space="preserve">Resources</w:t>
      </w:r>
    </w:p>
    <w:p>
      <w:pPr>
        <w:spacing w:after="140"/>
        <w:jc w:val="left"/>
      </w:pPr>
      <w:r>
        <w:rPr>
          <w:color w:val="131C18"/>
          <w:sz w:val="21"/>
          <w:szCs w:val="21"/>
        </w:rPr>
        <w:t xml:space="preserve">Engineering: 1 (founder, AI-assisted) | Agent: Azure AI Foundry prompt agent on </w:t>
      </w:r>
      <w:r>
        <w:rPr>
          <w:rFonts w:ascii="Consolas" w:cs="Consolas" w:eastAsia="Consolas" w:hAnsi="Consolas"/>
          <w:color w:val="131C18"/>
          <w:sz w:val="21"/>
          <w:szCs w:val="21"/>
        </w:rPr>
        <w:t xml:space="preserve">gpt-5-mini</w:t>
      </w:r>
      <w:r>
        <w:rPr>
          <w:color w:val="131C18"/>
          <w:sz w:val="21"/>
          <w:szCs w:val="21"/>
        </w:rPr>
        <w:t xml:space="preserve"> | Engine: Azure Container App | Frontend: React, in this repo | QA: founder + automated eval harness (</w:t>
      </w:r>
      <w:r>
        <w:rPr>
          <w:rFonts w:ascii="Consolas" w:cs="Consolas" w:eastAsia="Consolas" w:hAnsi="Consolas"/>
          <w:color w:val="131C18"/>
          <w:sz w:val="21"/>
          <w:szCs w:val="21"/>
        </w:rPr>
        <w:t xml:space="preserve">npm run eval:agent</w:t>
      </w:r>
      <w:r>
        <w:rPr>
          <w:color w:val="131C18"/>
          <w:sz w:val="21"/>
          <w:szCs w:val="21"/>
        </w:rPr>
        <w:t xml:space="preserve">) | Budget: inside the Azure free trial for the five-week build; the container, not the model, is the standing cost</w:t>
      </w:r>
    </w:p>
    <w:p>
      <w:pPr>
        <w:pStyle w:val="Heading2"/>
        <w:pBdr>
          <w:bottom w:val="single" w:color="D9E1DD" w:sz="6" w:space="4"/>
        </w:pBdr>
        <w:spacing w:after="120" w:before="280"/>
      </w:pPr>
      <w:r>
        <w:rPr>
          <w:b/>
          <w:bCs/>
          <w:caps w:val="false"/>
          <w:color w:val="1C6B49"/>
          <w:sz w:val="24"/>
          <w:szCs w:val="24"/>
        </w:rPr>
        <w:t xml:space="preserve">Open Questions</w:t>
      </w:r>
    </w:p>
    <w:p>
      <w:pPr>
        <w:pStyle w:val="ListParagraph"/>
        <w:numPr>
          <w:ilvl w:val="0"/>
          <w:numId w:val="4"/>
        </w:numPr>
        <w:spacing w:after="80"/>
      </w:pPr>
      <w:r>
        <w:rPr>
          <w:b/>
          <w:bCs/>
          <w:color w:val="131C18"/>
          <w:sz w:val="21"/>
          <w:szCs w:val="21"/>
        </w:rPr>
        <w:t xml:space="preserve">Does the weekly menu stay in the demo?</w:t>
      </w:r>
      <w:r>
        <w:rPr>
          <w:color w:val="131C18"/>
          <w:sz w:val="21"/>
          <w:szCs w:val="21"/>
        </w:rPr>
        <w:t xml:space="preserve"> It fails the "one core job" test (planning + tracking). Recommendation: cut from the narrative, keep the code. Pending instructor review.</w:t>
      </w:r>
    </w:p>
    <w:p>
      <w:pPr>
        <w:pStyle w:val="ListParagraph"/>
        <w:numPr>
          <w:ilvl w:val="0"/>
          <w:numId w:val="4"/>
        </w:numPr>
        <w:spacing w:after="80"/>
      </w:pPr>
      <w:r>
        <w:rPr>
          <w:b/>
          <w:bCs/>
          <w:color w:val="131C18"/>
          <w:sz w:val="21"/>
          <w:szCs w:val="21"/>
        </w:rPr>
        <w:t xml:space="preserve">Minimal memory in V0?</w:t>
      </w:r>
      <w:r>
        <w:rPr>
          <w:color w:val="131C18"/>
          <w:sz w:val="21"/>
          <w:szCs w:val="21"/>
        </w:rPr>
        <w:t xml:space="preserve"> Remembering rejected suggestions is cheap and strengthens the "agentic" and "why not ChatGPT" cases. Pending the same review.</w:t>
      </w:r>
    </w:p>
    <w:p>
      <w:pPr>
        <w:pStyle w:val="ListParagraph"/>
        <w:numPr>
          <w:ilvl w:val="0"/>
          <w:numId w:val="4"/>
        </w:numPr>
        <w:spacing w:after="80"/>
      </w:pPr>
      <w:r>
        <w:rPr>
          <w:b/>
          <w:bCs/>
          <w:color w:val="131C18"/>
          <w:sz w:val="21"/>
          <w:szCs w:val="21"/>
        </w:rPr>
        <w:t xml:space="preserve">Food data verification.</w:t>
      </w:r>
      <w:r>
        <w:rPr>
          <w:color w:val="131C18"/>
          <w:sz w:val="21"/>
          <w:szCs w:val="21"/>
        </w:rPr>
        <w:t xml:space="preserve"> The ingredient-first approach is settled; each ingredient GI still needs checking against its cited source, and packaged and restaurant foods need a different source. GI values must come from published tables — never from the model.</w:t>
      </w:r>
    </w:p>
    <w:p>
      <w:pPr>
        <w:pStyle w:val="ListParagraph"/>
        <w:numPr>
          <w:ilvl w:val="0"/>
          <w:numId w:val="4"/>
        </w:numPr>
        <w:spacing w:after="80"/>
      </w:pPr>
      <w:r>
        <w:rPr>
          <w:b/>
          <w:bCs/>
          <w:color w:val="131C18"/>
          <w:sz w:val="21"/>
          <w:szCs w:val="21"/>
        </w:rPr>
        <w:t xml:space="preserve">Where exactly is the FDA line</w:t>
      </w:r>
      <w:r>
        <w:rPr>
          <w:color w:val="131C18"/>
          <w:sz w:val="21"/>
          <w:szCs w:val="21"/>
        </w:rPr>
        <w:t xml:space="preserve"> between general wellness and a regulated device for a "can I eat this" verdict aimed at diagnosed users?</w:t>
      </w:r>
    </w:p>
    <w:p>
      <w:pPr>
        <w:pStyle w:val="Heading2"/>
        <w:pBdr>
          <w:bottom w:val="single" w:color="D9E1DD" w:sz="6" w:space="4"/>
        </w:pBdr>
        <w:spacing w:after="120" w:before="280"/>
      </w:pPr>
      <w:r>
        <w:rPr>
          <w:b/>
          <w:bCs/>
          <w:caps w:val="false"/>
          <w:color w:val="1C6B49"/>
          <w:sz w:val="24"/>
          <w:szCs w:val="24"/>
        </w:rPr>
        <w:t xml:space="preserve">Assumptions Made</w:t>
      </w:r>
    </w:p>
    <w:p>
      <w:pPr>
        <w:pStyle w:val="ListParagraph"/>
        <w:numPr>
          <w:ilvl w:val="0"/>
          <w:numId w:val="2"/>
        </w:numPr>
        <w:spacing w:after="80"/>
      </w:pPr>
      <w:r>
        <w:rPr>
          <w:color w:val="131C18"/>
          <w:sz w:val="21"/>
          <w:szCs w:val="21"/>
        </w:rPr>
        <w:t xml:space="preserve">The pitch audience values a proven architectural claim over feature breadth.</w:t>
      </w:r>
    </w:p>
    <w:p>
      <w:pPr>
        <w:pStyle w:val="ListParagraph"/>
        <w:numPr>
          <w:ilvl w:val="0"/>
          <w:numId w:val="2"/>
        </w:numPr>
        <w:spacing w:after="80"/>
      </w:pPr>
      <w:r>
        <w:rPr>
          <w:color w:val="131C18"/>
          <w:sz w:val="21"/>
          <w:szCs w:val="21"/>
        </w:rPr>
        <w:t xml:space="preserve">Week 1 counts as complete: the engine builds, runs, and has been verified end to end against hand calculation; the UI is English; the design direction is chosen and prototyped.</w:t>
      </w:r>
    </w:p>
    <w:p>
      <w:pPr>
        <w:pStyle w:val="ListParagraph"/>
        <w:numPr>
          <w:ilvl w:val="0"/>
          <w:numId w:val="2"/>
        </w:numPr>
        <w:spacing w:after="80"/>
      </w:pPr>
      <w:r>
        <w:rPr>
          <w:color w:val="131C18"/>
          <w:sz w:val="21"/>
          <w:szCs w:val="21"/>
        </w:rPr>
        <w:t xml:space="preserve">US-only scope holds; the checklist fixes (menu cut, memory in V0, JTBD reframe) are not yet applied to the full PRD pending review.</w:t>
      </w:r>
    </w:p>
    <w:p>
      <w:pPr>
        <w:pStyle w:val="ListParagraph"/>
        <w:numPr>
          <w:ilvl w:val="0"/>
          <w:numId w:val="2"/>
        </w:numPr>
        <w:spacing w:after="80"/>
      </w:pPr>
      <w:r>
        <w:rPr>
          <w:color w:val="131C18"/>
          <w:sz w:val="21"/>
          <w:szCs w:val="21"/>
        </w:rPr>
        <w:t xml:space="preserve">Market figures are recalled from CDC/ADA reports and require verification before external use.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bullet"/>
      <w:lvlText w:val="•"/>
      <w:lvlJc w:val="start"/>
      <w:pPr>
        <w:ind w:left="460" w:hanging="26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31C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2026-09-23T15:40:43.617Z</dcterms:created>
  <dcterms:modified xsi:type="dcterms:W3CDTF">2026-09-23T15:40:43.617Z</dcterms:modified>
</cp:coreProperties>
</file>

<file path=docProps/custom.xml><?xml version="1.0" encoding="utf-8"?>
<Properties xmlns="http://schemas.openxmlformats.org/officeDocument/2006/custom-properties" xmlns:vt="http://schemas.openxmlformats.org/officeDocument/2006/docPropsVTypes"/>
</file>