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31C18"/>
          <w:sz w:val="40"/>
          <w:szCs w:val="40"/>
        </w:rPr>
        <w:t xml:space="preserve">DiaBite — One-Page PRD</w:t>
      </w:r>
    </w:p>
    <w:p>
      <w:pPr>
        <w:spacing w:after="30"/>
      </w:pPr>
      <w:r>
        <w:rPr>
          <w:rFonts w:ascii="Consolas" w:cs="Consolas" w:eastAsia="Consolas" w:hAnsi="Consolas"/>
          <w:b/>
          <w:bCs/>
          <w:color w:val="57655E"/>
          <w:sz w:val="17"/>
          <w:szCs w:val="17"/>
        </w:rPr>
        <w:t xml:space="preserve">Date:</w:t>
      </w:r>
      <w:r>
        <w:rPr>
          <w:rFonts w:ascii="Consolas" w:cs="Consolas" w:eastAsia="Consolas" w:hAnsi="Consolas"/>
          <w:color w:val="57655E"/>
          <w:sz w:val="17"/>
          <w:szCs w:val="17"/>
        </w:rPr>
        <w:t xml:space="preserve"> 16 September 2026 | </w:t>
      </w:r>
      <w:r>
        <w:rPr>
          <w:rFonts w:ascii="Consolas" w:cs="Consolas" w:eastAsia="Consolas" w:hAnsi="Consolas"/>
          <w:b/>
          <w:bCs/>
          <w:color w:val="57655E"/>
          <w:sz w:val="17"/>
          <w:szCs w:val="17"/>
        </w:rPr>
        <w:t xml:space="preserve">Author:</w:t>
      </w:r>
      <w:r>
        <w:rPr>
          <w:rFonts w:ascii="Consolas" w:cs="Consolas" w:eastAsia="Consolas" w:hAnsi="Consolas"/>
          <w:color w:val="57655E"/>
          <w:sz w:val="17"/>
          <w:szCs w:val="17"/>
        </w:rPr>
        <w:t xml:space="preserve"> Nadia Babich | </w:t>
      </w:r>
      <w:r>
        <w:rPr>
          <w:rFonts w:ascii="Consolas" w:cs="Consolas" w:eastAsia="Consolas" w:hAnsi="Consolas"/>
          <w:b/>
          <w:bCs/>
          <w:color w:val="57655E"/>
          <w:sz w:val="17"/>
          <w:szCs w:val="17"/>
        </w:rPr>
        <w:t xml:space="preserve">Status:</w:t>
      </w:r>
      <w:r>
        <w:rPr>
          <w:rFonts w:ascii="Consolas" w:cs="Consolas" w:eastAsia="Consolas" w:hAnsi="Consolas"/>
          <w:color w:val="57655E"/>
          <w:sz w:val="17"/>
          <w:szCs w:val="17"/>
        </w:rPr>
        <w:t xml:space="preserve"> Draft v1.1</w:t>
      </w:r>
    </w:p>
    <w:p>
      <w:pPr>
        <w:spacing w:after="30"/>
      </w:pPr>
      <w:r>
        <w:rPr>
          <w:rFonts w:ascii="Consolas" w:cs="Consolas" w:eastAsia="Consolas" w:hAnsi="Consolas"/>
          <w:b/>
          <w:bCs/>
          <w:color w:val="57655E"/>
          <w:sz w:val="17"/>
          <w:szCs w:val="17"/>
        </w:rPr>
        <w:t xml:space="preserve">Market:</w:t>
      </w:r>
      <w:r>
        <w:rPr>
          <w:rFonts w:ascii="Consolas" w:cs="Consolas" w:eastAsia="Consolas" w:hAnsi="Consolas"/>
          <w:color w:val="57655E"/>
          <w:sz w:val="17"/>
          <w:szCs w:val="17"/>
        </w:rPr>
        <w:t xml:space="preserve"> United States | </w:t>
      </w:r>
      <w:r>
        <w:rPr>
          <w:rFonts w:ascii="Consolas" w:cs="Consolas" w:eastAsia="Consolas" w:hAnsi="Consolas"/>
          <w:b/>
          <w:bCs/>
          <w:color w:val="57655E"/>
          <w:sz w:val="17"/>
          <w:szCs w:val="17"/>
        </w:rPr>
        <w:t xml:space="preserve">Build:</w:t>
      </w:r>
      <w:r>
        <w:rPr>
          <w:rFonts w:ascii="Consolas" w:cs="Consolas" w:eastAsia="Consolas" w:hAnsi="Consolas"/>
          <w:color w:val="57655E"/>
          <w:sz w:val="17"/>
          <w:szCs w:val="17"/>
        </w:rPr>
        <w:t xml:space="preserve"> 5 weeks, solo, AI-assisted | </w:t>
      </w:r>
      <w:r>
        <w:rPr>
          <w:rFonts w:ascii="Consolas" w:cs="Consolas" w:eastAsia="Consolas" w:hAnsi="Consolas"/>
          <w:b/>
          <w:bCs/>
          <w:color w:val="57655E"/>
          <w:sz w:val="17"/>
          <w:szCs w:val="17"/>
        </w:rPr>
        <w:t xml:space="preserve">Outcome:</w:t>
      </w:r>
      <w:r>
        <w:rPr>
          <w:rFonts w:ascii="Consolas" w:cs="Consolas" w:eastAsia="Consolas" w:hAnsi="Consolas"/>
          <w:color w:val="57655E"/>
          <w:sz w:val="17"/>
          <w:szCs w:val="17"/>
        </w:rPr>
        <w:t xml:space="preserve"> working demo for a pitch</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PROBLEM</w:t>
      </w:r>
    </w:p>
    <w:p>
      <w:pPr>
        <w:spacing w:after="80" w:line="264"/>
      </w:pPr>
      <w:r>
        <w:rPr>
          <w:rFonts w:ascii="Calibri" w:cs="Calibri" w:eastAsia="Calibri" w:hAnsi="Calibri"/>
          <w:sz w:val="20"/>
          <w:szCs w:val="20"/>
        </w:rPr>
        <w:t xml:space="preserve">People with type 2 diabetes, prediabetes, or insulin resistance face one narrow question five to seven times a day — </w:t>
      </w:r>
      <w:r>
        <w:rPr>
          <w:rFonts w:ascii="Calibri" w:cs="Calibri" w:eastAsia="Calibri" w:hAnsi="Calibri"/>
          <w:i/>
          <w:iCs/>
          <w:sz w:val="20"/>
          <w:szCs w:val="20"/>
        </w:rPr>
        <w:t xml:space="preserve">can I eat this, how much, and with what?</w:t>
      </w:r>
      <w:r>
        <w:rPr>
          <w:rFonts w:ascii="Calibri" w:cs="Calibri" w:eastAsia="Calibri" w:hAnsi="Calibri"/>
          <w:sz w:val="20"/>
          <w:szCs w:val="20"/>
        </w:rPr>
        <w:t xml:space="preserve"> — and the tools they are given either don't answer it (a printed food list) or make answering it so laborious that logging collapses within weeks (a calorie app). The job is bookkeeping, not knowledge: turning a real meal into grams and glycemic load, and holding a running daily budget.</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SOLUTION</w:t>
      </w:r>
    </w:p>
    <w:p>
      <w:pPr>
        <w:spacing w:after="80" w:line="264"/>
      </w:pPr>
      <w:r>
        <w:rPr>
          <w:rFonts w:ascii="Calibri" w:cs="Calibri" w:eastAsia="Calibri" w:hAnsi="Calibri"/>
          <w:sz w:val="20"/>
          <w:szCs w:val="20"/>
        </w:rPr>
        <w:t xml:space="preserve">An agentic copilot that does the bookkeeping from a sentence. A model reads a free-text meal and decides which tools to call; a deterministic engine computes every number; a verifier rejects any answer containing a number no tool returned. The user gets a verdict, the number behind it, a one-line reason, and a next action — with the arithmetic one tap away, laid out like a receipt. The agent is orchestrated in n8n; the engine and the React frontend live in one repository and share one module, so nothing is ever computed twice.</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WHY NOW?</w:t>
      </w:r>
    </w:p>
    <w:p>
      <w:pPr>
        <w:pStyle w:val="ListParagraph"/>
        <w:numPr>
          <w:ilvl w:val="0"/>
          <w:numId w:val="2"/>
        </w:numPr>
        <w:spacing w:after="40" w:line="264"/>
      </w:pPr>
      <w:r>
        <w:rPr>
          <w:rFonts w:ascii="Calibri" w:cs="Calibri" w:eastAsia="Calibri" w:hAnsi="Calibri"/>
          <w:b/>
          <w:bCs/>
          <w:sz w:val="20"/>
          <w:szCs w:val="20"/>
        </w:rPr>
        <w:t xml:space="preserve">The population is huge and under-served.</w:t>
      </w:r>
      <w:r>
        <w:rPr>
          <w:rFonts w:ascii="Calibri" w:cs="Calibri" w:eastAsia="Calibri" w:hAnsi="Calibri"/>
          <w:sz w:val="20"/>
          <w:szCs w:val="20"/>
        </w:rPr>
        <w:t xml:space="preserve"> 97.6M US adults have prediabetes and over 80% don't know it; diet is first-line treatment, yet only a low single-digit share of eligible Medicare beneficiaries ever use the nutrition therapy they are entitled to. </w:t>
      </w:r>
      <w:r>
        <w:rPr>
          <w:rFonts w:ascii="Calibri" w:cs="Calibri" w:eastAsia="Calibri" w:hAnsi="Calibri"/>
          <w:b/>
          <w:bCs/>
          <w:sz w:val="20"/>
          <w:szCs w:val="20"/>
        </w:rPr>
        <w:t xml:space="preserve">[verify — CDC, ADA]</w:t>
      </w:r>
    </w:p>
    <w:p>
      <w:pPr>
        <w:pStyle w:val="ListParagraph"/>
        <w:numPr>
          <w:ilvl w:val="0"/>
          <w:numId w:val="2"/>
        </w:numPr>
        <w:spacing w:after="40" w:line="264"/>
      </w:pPr>
      <w:r>
        <w:rPr>
          <w:rFonts w:ascii="Calibri" w:cs="Calibri" w:eastAsia="Calibri" w:hAnsi="Calibri"/>
          <w:b/>
          <w:bCs/>
          <w:sz w:val="20"/>
          <w:szCs w:val="20"/>
        </w:rPr>
        <w:t xml:space="preserve">The market has been educated.</w:t>
      </w:r>
      <w:r>
        <w:rPr>
          <w:rFonts w:ascii="Calibri" w:cs="Calibri" w:eastAsia="Calibri" w:hAnsi="Calibri"/>
          <w:sz w:val="20"/>
          <w:szCs w:val="20"/>
        </w:rPr>
        <w:t xml:space="preserve"> ZOE, Levels and Nutrisense taught consumers what a glycemic response is — then gated it behind $100+/month sensors.</w:t>
      </w:r>
    </w:p>
    <w:p>
      <w:pPr>
        <w:pStyle w:val="ListParagraph"/>
        <w:numPr>
          <w:ilvl w:val="0"/>
          <w:numId w:val="2"/>
        </w:numPr>
        <w:spacing w:after="40" w:line="264"/>
      </w:pPr>
      <w:r>
        <w:rPr>
          <w:rFonts w:ascii="Calibri" w:cs="Calibri" w:eastAsia="Calibri" w:hAnsi="Calibri"/>
          <w:b/>
          <w:bCs/>
          <w:sz w:val="20"/>
          <w:szCs w:val="20"/>
        </w:rPr>
        <w:t xml:space="preserve">The technology just became trustworthy.</w:t>
      </w:r>
      <w:r>
        <w:rPr>
          <w:rFonts w:ascii="Calibri" w:cs="Calibri" w:eastAsia="Calibri" w:hAnsi="Calibri"/>
          <w:sz w:val="20"/>
          <w:szCs w:val="20"/>
        </w:rPr>
        <w:t xml:space="preserve"> Tool-calling models make free-text meal understanding cheap; a deterministic core makes the numbers reproducible. Neither was true two years ago, and a general chatbot still gives two different glycemic loads for the same meal.</w:t>
      </w:r>
    </w:p>
    <w:p>
      <w:pPr>
        <w:pStyle w:val="ListParagraph"/>
        <w:numPr>
          <w:ilvl w:val="0"/>
          <w:numId w:val="2"/>
        </w:numPr>
        <w:spacing w:after="40" w:line="264"/>
      </w:pPr>
      <w:r>
        <w:rPr>
          <w:rFonts w:ascii="Calibri" w:cs="Calibri" w:eastAsia="Calibri" w:hAnsi="Calibri"/>
          <w:b/>
          <w:bCs/>
          <w:sz w:val="20"/>
          <w:szCs w:val="20"/>
        </w:rPr>
        <w:t xml:space="preserve">No one shows the arithmetic.</w:t>
      </w:r>
      <w:r>
        <w:rPr>
          <w:rFonts w:ascii="Calibri" w:cs="Calibri" w:eastAsia="Calibri" w:hAnsi="Calibri"/>
          <w:sz w:val="20"/>
          <w:szCs w:val="20"/>
        </w:rPr>
        <w:t xml:space="preserve"> Levels and ZOE give a score you cannot question; MyFitnessPal gives a database and 3–5 minutes of work per meal with no glycemic index at all; GI-lookup apps give a table with no verdict. The legible answer is an open position.</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2EFE8" w:color="auto" w:val="clear"/>
            <w:tcMar>
              <w:top w:type="dxa" w:w="90"/>
              <w:left w:type="dxa" w:w="110"/>
              <w:bottom w:type="dxa" w:w="90"/>
              <w:right w:type="dxa" w:w="110"/>
            </w:tcMar>
          </w:tcPr>
          <w:p>
            <w:pPr>
              <w:spacing w:after="0"/>
            </w:pPr>
            <w:r>
              <w:rPr>
                <w:rFonts w:ascii="Calibri" w:cs="Calibri" w:eastAsia="Calibri" w:hAnsi="Calibri"/>
                <w:b/>
                <w:bCs/>
                <w:color w:val="1C6B49"/>
                <w:sz w:val="19"/>
                <w:szCs w:val="19"/>
              </w:rPr>
              <w:t xml:space="preserve">Metric</w:t>
            </w:r>
          </w:p>
        </w:tc>
        <w:tc>
          <w:tcPr>
            <w:tcW w:type="dxa" w:w="3120"/>
            <w:shd w:fill="E2EFE8" w:color="auto" w:val="clear"/>
            <w:tcMar>
              <w:top w:type="dxa" w:w="90"/>
              <w:left w:type="dxa" w:w="110"/>
              <w:bottom w:type="dxa" w:w="90"/>
              <w:right w:type="dxa" w:w="110"/>
            </w:tcMar>
          </w:tcPr>
          <w:p>
            <w:pPr>
              <w:spacing w:after="0"/>
            </w:pPr>
            <w:r>
              <w:rPr>
                <w:rFonts w:ascii="Calibri" w:cs="Calibri" w:eastAsia="Calibri" w:hAnsi="Calibri"/>
                <w:b/>
                <w:bCs/>
                <w:color w:val="1C6B49"/>
                <w:sz w:val="19"/>
                <w:szCs w:val="19"/>
              </w:rPr>
              <w:t xml:space="preserve">Current</w:t>
            </w:r>
          </w:p>
        </w:tc>
        <w:tc>
          <w:tcPr>
            <w:tcW w:type="dxa" w:w="3120"/>
            <w:shd w:fill="E2EFE8" w:color="auto" w:val="clear"/>
            <w:tcMar>
              <w:top w:type="dxa" w:w="90"/>
              <w:left w:type="dxa" w:w="110"/>
              <w:bottom w:type="dxa" w:w="90"/>
              <w:right w:type="dxa" w:w="110"/>
            </w:tcMar>
          </w:tcPr>
          <w:p>
            <w:pPr>
              <w:spacing w:after="0"/>
            </w:pPr>
            <w:r>
              <w:rPr>
                <w:rFonts w:ascii="Calibri" w:cs="Calibri" w:eastAsia="Calibri" w:hAnsi="Calibri"/>
                <w:b/>
                <w:bCs/>
                <w:color w:val="1C6B49"/>
                <w:sz w:val="19"/>
                <w:szCs w:val="19"/>
              </w:rPr>
              <w:t xml:space="preserve">Target (demo, Week 5)</w:t>
            </w:r>
          </w:p>
        </w:tc>
      </w:tr>
      <w:tr>
        <w:trPr>
          <w:tblHeader w:val="false"/>
        </w:trPr>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Ungrounded numbers in agent output</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not measured</w:t>
            </w:r>
          </w:p>
        </w:tc>
        <w:tc>
          <w:tcPr>
            <w:tcW w:type="dxa" w:w="3120"/>
            <w:tcMar>
              <w:top w:type="dxa" w:w="90"/>
              <w:left w:type="dxa" w:w="110"/>
              <w:bottom w:type="dxa" w:w="90"/>
              <w:right w:type="dxa" w:w="110"/>
            </w:tcMar>
          </w:tcPr>
          <w:p>
            <w:pPr>
              <w:spacing w:after="0"/>
            </w:pPr>
            <w:r>
              <w:rPr>
                <w:rFonts w:ascii="Calibri" w:cs="Calibri" w:eastAsia="Calibri" w:hAnsi="Calibri"/>
                <w:b/>
                <w:bCs/>
                <w:color w:val="131C18"/>
                <w:sz w:val="19"/>
                <w:szCs w:val="19"/>
              </w:rPr>
              <w:t xml:space="preserve">0</w:t>
            </w:r>
            <w:r>
              <w:rPr>
                <w:rFonts w:ascii="Calibri" w:cs="Calibri" w:eastAsia="Calibri" w:hAnsi="Calibri"/>
                <w:b w:val="false"/>
                <w:bCs w:val="false"/>
                <w:color w:val="131C18"/>
                <w:sz w:val="19"/>
                <w:szCs w:val="19"/>
              </w:rPr>
              <w:t xml:space="preserve"> across the eval set</w:t>
            </w:r>
          </w:p>
        </w:tc>
      </w:tr>
      <w:tr>
        <w:trPr>
          <w:tblHeader w:val="false"/>
        </w:trPr>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Insulin-dosing refusals</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not measured</w:t>
            </w:r>
          </w:p>
        </w:tc>
        <w:tc>
          <w:tcPr>
            <w:tcW w:type="dxa" w:w="3120"/>
            <w:tcMar>
              <w:top w:type="dxa" w:w="90"/>
              <w:left w:type="dxa" w:w="110"/>
              <w:bottom w:type="dxa" w:w="90"/>
              <w:right w:type="dxa" w:w="110"/>
            </w:tcMar>
          </w:tcPr>
          <w:p>
            <w:pPr>
              <w:spacing w:after="0"/>
            </w:pPr>
            <w:r>
              <w:rPr>
                <w:rFonts w:ascii="Calibri" w:cs="Calibri" w:eastAsia="Calibri" w:hAnsi="Calibri"/>
                <w:b/>
                <w:bCs/>
                <w:color w:val="131C18"/>
                <w:sz w:val="19"/>
                <w:szCs w:val="19"/>
              </w:rPr>
              <w:t xml:space="preserve">100%</w:t>
            </w:r>
            <w:r>
              <w:rPr>
                <w:rFonts w:ascii="Calibri" w:cs="Calibri" w:eastAsia="Calibri" w:hAnsi="Calibri"/>
                <w:b w:val="false"/>
                <w:bCs w:val="false"/>
                <w:color w:val="131C18"/>
                <w:sz w:val="19"/>
                <w:szCs w:val="19"/>
              </w:rPr>
              <w:t xml:space="preserve"> on scripted probes</w:t>
            </w:r>
          </w:p>
        </w:tc>
      </w:tr>
      <w:tr>
        <w:trPr>
          <w:tblHeader w:val="false"/>
        </w:trPr>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Red-flag escalation</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not measured</w:t>
            </w:r>
          </w:p>
        </w:tc>
        <w:tc>
          <w:tcPr>
            <w:tcW w:type="dxa" w:w="3120"/>
            <w:tcMar>
              <w:top w:type="dxa" w:w="90"/>
              <w:left w:type="dxa" w:w="110"/>
              <w:bottom w:type="dxa" w:w="90"/>
              <w:right w:type="dxa" w:w="110"/>
            </w:tcMar>
          </w:tcPr>
          <w:p>
            <w:pPr>
              <w:spacing w:after="0"/>
            </w:pPr>
            <w:r>
              <w:rPr>
                <w:rFonts w:ascii="Calibri" w:cs="Calibri" w:eastAsia="Calibri" w:hAnsi="Calibri"/>
                <w:b/>
                <w:bCs/>
                <w:color w:val="131C18"/>
                <w:sz w:val="19"/>
                <w:szCs w:val="19"/>
              </w:rPr>
              <w:t xml:space="preserve">100%</w:t>
            </w:r>
            <w:r>
              <w:rPr>
                <w:rFonts w:ascii="Calibri" w:cs="Calibri" w:eastAsia="Calibri" w:hAnsi="Calibri"/>
                <w:b w:val="false"/>
                <w:bCs w:val="false"/>
                <w:color w:val="131C18"/>
                <w:sz w:val="19"/>
                <w:szCs w:val="19"/>
              </w:rPr>
              <w:t xml:space="preserve"> on scripted probes</w:t>
            </w:r>
          </w:p>
        </w:tc>
      </w:tr>
      <w:tr>
        <w:trPr>
          <w:tblHeader w:val="false"/>
        </w:trPr>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Meal-parsing accuracy (top-1, ~100 labelled meals)</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not measured</w:t>
            </w:r>
          </w:p>
        </w:tc>
        <w:tc>
          <w:tcPr>
            <w:tcW w:type="dxa" w:w="3120"/>
            <w:tcMar>
              <w:top w:type="dxa" w:w="90"/>
              <w:left w:type="dxa" w:w="110"/>
              <w:bottom w:type="dxa" w:w="90"/>
              <w:right w:type="dxa" w:w="110"/>
            </w:tcMar>
          </w:tcPr>
          <w:p>
            <w:pPr>
              <w:spacing w:after="0"/>
            </w:pPr>
            <w:r>
              <w:rPr>
                <w:rFonts w:ascii="Calibri" w:cs="Calibri" w:eastAsia="Calibri" w:hAnsi="Calibri"/>
                <w:b/>
                <w:bCs/>
                <w:color w:val="131C18"/>
                <w:sz w:val="19"/>
                <w:szCs w:val="19"/>
              </w:rPr>
              <w:t xml:space="preserve">reported</w:t>
            </w:r>
            <w:r>
              <w:rPr>
                <w:rFonts w:ascii="Calibri" w:cs="Calibri" w:eastAsia="Calibri" w:hAnsi="Calibri"/>
                <w:b w:val="false"/>
                <w:bCs w:val="false"/>
                <w:color w:val="131C18"/>
                <w:sz w:val="19"/>
                <w:szCs w:val="19"/>
              </w:rPr>
              <w:t xml:space="preserve">, not promised</w:t>
            </w:r>
          </w:p>
        </w:tc>
      </w:tr>
      <w:tr>
        <w:trPr>
          <w:tblHeader w:val="false"/>
        </w:trPr>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Agent answer latency, p90</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not measured</w:t>
            </w:r>
          </w:p>
        </w:tc>
        <w:tc>
          <w:tcPr>
            <w:tcW w:type="dxa" w:w="3120"/>
            <w:tcMar>
              <w:top w:type="dxa" w:w="90"/>
              <w:left w:type="dxa" w:w="110"/>
              <w:bottom w:type="dxa" w:w="90"/>
              <w:right w:type="dxa" w:w="110"/>
            </w:tcMar>
          </w:tcPr>
          <w:p>
            <w:pPr>
              <w:spacing w:after="0"/>
            </w:pPr>
            <w:r>
              <w:rPr>
                <w:rFonts w:ascii="Calibri" w:cs="Calibri" w:eastAsia="Calibri" w:hAnsi="Calibri"/>
                <w:b/>
                <w:bCs/>
                <w:color w:val="131C18"/>
                <w:sz w:val="19"/>
                <w:szCs w:val="19"/>
              </w:rPr>
              <w:t xml:space="preserve">&lt; 10 s</w:t>
            </w:r>
          </w:p>
        </w:tc>
      </w:tr>
      <w:tr>
        <w:trPr>
          <w:tblHeader w:val="false"/>
        </w:trPr>
        <w:tc>
          <w:tcPr>
            <w:tcW w:type="dxa" w:w="3120"/>
            <w:tcMar>
              <w:top w:type="dxa" w:w="90"/>
              <w:left w:type="dxa" w:w="110"/>
              <w:bottom w:type="dxa" w:w="90"/>
              <w:right w:type="dxa" w:w="110"/>
            </w:tcMar>
          </w:tcPr>
          <w:p>
            <w:pPr>
              <w:spacing w:after="0"/>
            </w:pPr>
            <w:r>
              <w:rPr>
                <w:rFonts w:ascii="Calibri" w:cs="Calibri" w:eastAsia="Calibri" w:hAnsi="Calibri"/>
                <w:b w:val="false"/>
                <w:bCs w:val="false"/>
                <w:i/>
                <w:iCs/>
                <w:color w:val="131C18"/>
                <w:sz w:val="19"/>
                <w:szCs w:val="19"/>
              </w:rPr>
              <w:t xml:space="preserve">Product North Star (post-launch):</w:t>
            </w:r>
            <w:r>
              <w:rPr>
                <w:rFonts w:ascii="Calibri" w:cs="Calibri" w:eastAsia="Calibri" w:hAnsi="Calibri"/>
                <w:b w:val="false"/>
                <w:bCs w:val="false"/>
                <w:color w:val="131C18"/>
                <w:sz w:val="19"/>
                <w:szCs w:val="19"/>
              </w:rPr>
              <w:t xml:space="preserve"> in-range days per active user per week</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w:t>
            </w:r>
          </w:p>
        </w:tc>
        <w:tc>
          <w:tcPr>
            <w:tcW w:type="dxa" w:w="3120"/>
            <w:tcMar>
              <w:top w:type="dxa" w:w="90"/>
              <w:left w:type="dxa" w:w="110"/>
              <w:bottom w:type="dxa" w:w="90"/>
              <w:right w:type="dxa" w:w="110"/>
            </w:tcMar>
          </w:tcPr>
          <w:p>
            <w:pPr>
              <w:spacing w:after="0"/>
            </w:pPr>
            <w:r>
              <w:rPr>
                <w:rFonts w:ascii="Calibri" w:cs="Calibri" w:eastAsia="Calibri" w:hAnsi="Calibri"/>
                <w:b w:val="false"/>
                <w:bCs w:val="false"/>
                <w:color w:val="131C18"/>
                <w:sz w:val="19"/>
                <w:szCs w:val="19"/>
              </w:rPr>
              <w:t xml:space="preserve">median 4.5 / 7 by week 8</w:t>
            </w:r>
          </w:p>
        </w:tc>
      </w:tr>
    </w:tbl>
    <w:p>
      <w:pPr>
        <w:spacing w:after="40"/>
      </w:pPr>
    </w:p>
    <w:p>
      <w:pPr>
        <w:keepNext/>
        <w:pBdr>
          <w:bottom w:val="single" w:color="D9E1DD" w:sz="6" w:space="3"/>
        </w:pBdr>
        <w:spacing w:after="60" w:before="190"/>
      </w:pPr>
      <w:r>
        <w:rPr>
          <w:rFonts w:ascii="Calibri" w:cs="Calibri" w:eastAsia="Calibri" w:hAnsi="Calibri"/>
          <w:b/>
          <w:bCs/>
          <w:color w:val="1C6B49"/>
          <w:spacing w:val="25"/>
          <w:sz w:val="17"/>
          <w:szCs w:val="17"/>
        </w:rPr>
        <w:t xml:space="preserve">SCOPE</w:t>
      </w:r>
    </w:p>
    <w:p>
      <w:pPr>
        <w:spacing w:after="80" w:line="264"/>
      </w:pPr>
      <w:r>
        <w:rPr>
          <w:rFonts w:ascii="Calibri" w:cs="Calibri" w:eastAsia="Calibri" w:hAnsi="Calibri"/>
          <w:b/>
          <w:bCs/>
          <w:sz w:val="20"/>
          <w:szCs w:val="20"/>
        </w:rPr>
        <w:t xml:space="preserve">In (V0):</w:t>
      </w:r>
      <w:r>
        <w:rPr>
          <w:rFonts w:ascii="Calibri" w:cs="Calibri" w:eastAsia="Calibri" w:hAnsi="Calibri"/>
          <w:sz w:val="20"/>
          <w:szCs w:val="20"/>
        </w:rPr>
        <w:t xml:space="preserve"> free-text meal → computed glycemic load → verdict with reason · verifier and a visible trace of every tool call · personal targets with their derivation · safety envelope (no dosing, red-flag escalation, honest "no verified data") · a measured evaluation set · weekly menu generator, already built, carried as-is</w:t>
      </w:r>
    </w:p>
    <w:p>
      <w:pPr>
        <w:spacing w:after="80" w:line="264"/>
      </w:pPr>
      <w:r>
        <w:rPr>
          <w:rFonts w:ascii="Calibri" w:cs="Calibri" w:eastAsia="Calibri" w:hAnsi="Calibri"/>
          <w:b/>
          <w:bCs/>
          <w:sz w:val="20"/>
          <w:szCs w:val="20"/>
        </w:rPr>
        <w:t xml:space="preserve">Out:</w:t>
      </w:r>
      <w:r>
        <w:rPr>
          <w:rFonts w:ascii="Calibri" w:cs="Calibri" w:eastAsia="Calibri" w:hAnsi="Calibri"/>
          <w:sz w:val="20"/>
          <w:szCs w:val="20"/>
        </w:rPr>
        <w:t xml:space="preserve"> photo and voice logging · accounts, sync, export · personalisation from history · broad food coverage · clinical review · T1D on intensive insulin, children, pregnancy, CKD</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USER FLOW</w:t>
      </w:r>
    </w:p>
    <w:p>
      <w:pPr>
        <w:spacing w:after="80" w:line="264"/>
      </w:pPr>
      <w:r>
        <w:rPr>
          <w:rFonts w:ascii="Calibri" w:cs="Calibri" w:eastAsia="Calibri" w:hAnsi="Calibri"/>
          <w:sz w:val="20"/>
          <w:szCs w:val="20"/>
        </w:rPr>
        <w:t xml:space="preserve">Type a meal → agent resolves foods, asks one question if unsure → engine computes carbs, glycemic load, and remaining daily budget → verifier checks every number against tool results → verdict + number + reason + action, with </w:t>
      </w:r>
      <w:r>
        <w:rPr>
          <w:rFonts w:ascii="Calibri" w:cs="Calibri" w:eastAsia="Calibri" w:hAnsi="Calibri"/>
          <w:b/>
          <w:bCs/>
          <w:sz w:val="20"/>
          <w:szCs w:val="20"/>
        </w:rPr>
        <w:t xml:space="preserve">Show calculation</w:t>
      </w:r>
      <w:r>
        <w:rPr>
          <w:rFonts w:ascii="Calibri" w:cs="Calibri" w:eastAsia="Calibri" w:hAnsi="Calibri"/>
          <w:sz w:val="20"/>
          <w:szCs w:val="20"/>
        </w:rPr>
        <w:t xml:space="preserve"> and the tool trace one tap away</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RISKS</w:t>
      </w:r>
    </w:p>
    <w:p>
      <w:pPr>
        <w:pStyle w:val="ListParagraph"/>
        <w:numPr>
          <w:ilvl w:val="0"/>
          <w:numId w:val="3"/>
        </w:numPr>
        <w:spacing w:after="40" w:line="264"/>
      </w:pPr>
      <w:r>
        <w:rPr>
          <w:rFonts w:ascii="Calibri" w:cs="Calibri" w:eastAsia="Calibri" w:hAnsi="Calibri"/>
          <w:b/>
          <w:bCs/>
          <w:sz w:val="20"/>
          <w:szCs w:val="20"/>
        </w:rPr>
        <w:t xml:space="preserve">Two copies of the arithmetic drift apart</w:t>
      </w:r>
      <w:r>
        <w:rPr>
          <w:rFonts w:ascii="Calibri" w:cs="Calibri" w:eastAsia="Calibri" w:hAnsi="Calibri"/>
          <w:sz w:val="20"/>
          <w:szCs w:val="20"/>
        </w:rPr>
        <w:t xml:space="preserve"> → the browser and the engine service import the same </w:t>
      </w:r>
      <w:r>
        <w:rPr>
          <w:rFonts w:ascii="Consolas" w:cs="Consolas" w:eastAsia="Consolas" w:hAnsi="Consolas"/>
          <w:sz w:val="20"/>
          <w:szCs w:val="20"/>
        </w:rPr>
        <w:t xml:space="preserve">src/lib</w:t>
      </w:r>
      <w:r>
        <w:rPr>
          <w:rFonts w:ascii="Calibri" w:cs="Calibri" w:eastAsia="Calibri" w:hAnsi="Calibri"/>
          <w:sz w:val="20"/>
          <w:szCs w:val="20"/>
        </w:rPr>
        <w:t xml:space="preserve"> module; the API contract is fixed before the agent is wired, so nothing is ever re-implemented</w:t>
      </w:r>
    </w:p>
    <w:p>
      <w:pPr>
        <w:pStyle w:val="ListParagraph"/>
        <w:numPr>
          <w:ilvl w:val="0"/>
          <w:numId w:val="3"/>
        </w:numPr>
        <w:spacing w:after="40" w:line="264"/>
      </w:pPr>
      <w:r>
        <w:rPr>
          <w:rFonts w:ascii="Calibri" w:cs="Calibri" w:eastAsia="Calibri" w:hAnsi="Calibri"/>
          <w:b/>
          <w:bCs/>
          <w:sz w:val="20"/>
          <w:szCs w:val="20"/>
        </w:rPr>
        <w:t xml:space="preserve">Food data eats the schedule</w:t>
      </w:r>
      <w:r>
        <w:rPr>
          <w:rFonts w:ascii="Calibri" w:cs="Calibri" w:eastAsia="Calibri" w:hAnsi="Calibri"/>
          <w:sz w:val="20"/>
          <w:szCs w:val="20"/>
        </w:rPr>
        <w:t xml:space="preserve"> → a 1,000-recipe base on 350 ingredients now computes dish GI deterministically from ingredient GI; unknown foods are named as unknown, never guessed; ingredient values still need source-by-source verification</w:t>
      </w:r>
    </w:p>
    <w:p>
      <w:pPr>
        <w:pStyle w:val="ListParagraph"/>
        <w:numPr>
          <w:ilvl w:val="0"/>
          <w:numId w:val="3"/>
        </w:numPr>
        <w:spacing w:after="40" w:line="264"/>
      </w:pPr>
      <w:r>
        <w:rPr>
          <w:rFonts w:ascii="Calibri" w:cs="Calibri" w:eastAsia="Calibri" w:hAnsi="Calibri"/>
          <w:b/>
          <w:bCs/>
          <w:sz w:val="20"/>
          <w:szCs w:val="20"/>
        </w:rPr>
        <w:t xml:space="preserve">FDA general-wellness line</w:t>
      </w:r>
      <w:r>
        <w:rPr>
          <w:rFonts w:ascii="Calibri" w:cs="Calibri" w:eastAsia="Calibri" w:hAnsi="Calibri"/>
          <w:sz w:val="20"/>
          <w:szCs w:val="20"/>
        </w:rPr>
        <w:t xml:space="preserve"> → positioned as information with a non-dismissible disclaimer; diagnosis and dosing are refused; open question for counsel</w:t>
      </w:r>
    </w:p>
    <w:p>
      <w:pPr>
        <w:pStyle w:val="ListParagraph"/>
        <w:numPr>
          <w:ilvl w:val="0"/>
          <w:numId w:val="3"/>
        </w:numPr>
        <w:spacing w:after="40" w:line="264"/>
      </w:pPr>
      <w:r>
        <w:rPr>
          <w:rFonts w:ascii="Calibri" w:cs="Calibri" w:eastAsia="Calibri" w:hAnsi="Calibri"/>
          <w:b/>
          <w:bCs/>
          <w:sz w:val="20"/>
          <w:szCs w:val="20"/>
        </w:rPr>
        <w:t xml:space="preserve">Live demo fails</w:t>
      </w:r>
      <w:r>
        <w:rPr>
          <w:rFonts w:ascii="Calibri" w:cs="Calibri" w:eastAsia="Calibri" w:hAnsi="Calibri"/>
          <w:sz w:val="20"/>
          <w:szCs w:val="20"/>
        </w:rPr>
        <w:t xml:space="preserve"> → backup recording made in Week 5</w:t>
      </w:r>
    </w:p>
    <w:p>
      <w:pPr>
        <w:pStyle w:val="ListParagraph"/>
        <w:numPr>
          <w:ilvl w:val="0"/>
          <w:numId w:val="3"/>
        </w:numPr>
        <w:spacing w:after="40" w:line="264"/>
      </w:pPr>
      <w:r>
        <w:rPr>
          <w:rFonts w:ascii="Calibri" w:cs="Calibri" w:eastAsia="Calibri" w:hAnsi="Calibri"/>
          <w:b/>
          <w:bCs/>
          <w:sz w:val="20"/>
          <w:szCs w:val="20"/>
        </w:rPr>
        <w:t xml:space="preserve">Parsing accuracy lands below the PRD's 90%</w:t>
      </w:r>
      <w:r>
        <w:rPr>
          <w:rFonts w:ascii="Calibri" w:cs="Calibri" w:eastAsia="Calibri" w:hAnsi="Calibri"/>
          <w:sz w:val="20"/>
          <w:szCs w:val="20"/>
        </w:rPr>
        <w:t xml:space="preserve"> → the measured number is reported with its method; a stated 78% beats an unmeasured 90%</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TIMELINE</w:t>
      </w:r>
    </w:p>
    <w:p>
      <w:pPr>
        <w:pStyle w:val="ListParagraph"/>
        <w:numPr>
          <w:ilvl w:val="0"/>
          <w:numId w:val="2"/>
        </w:numPr>
        <w:spacing w:after="40" w:line="264"/>
      </w:pPr>
      <w:r>
        <w:rPr>
          <w:rFonts w:ascii="Calibri" w:cs="Calibri" w:eastAsia="Calibri" w:hAnsi="Calibri"/>
          <w:b/>
          <w:bCs/>
          <w:sz w:val="20"/>
          <w:szCs w:val="20"/>
        </w:rPr>
        <w:t xml:space="preserve">Week 1</w:t>
      </w:r>
      <w:r>
        <w:rPr>
          <w:rFonts w:ascii="Calibri" w:cs="Calibri" w:eastAsia="Calibri" w:hAnsi="Calibri"/>
          <w:sz w:val="20"/>
          <w:szCs w:val="20"/>
        </w:rPr>
        <w:t xml:space="preserve"> — environment, engine verified end to end, English UI, design direction and clickable prototype ✅ </w:t>
      </w:r>
      <w:r>
        <w:rPr>
          <w:rFonts w:ascii="Calibri" w:cs="Calibri" w:eastAsia="Calibri" w:hAnsi="Calibri"/>
          <w:i/>
          <w:iCs/>
          <w:sz w:val="20"/>
          <w:szCs w:val="20"/>
        </w:rPr>
        <w:t xml:space="preserve">done</w:t>
      </w:r>
    </w:p>
    <w:p>
      <w:pPr>
        <w:pStyle w:val="ListParagraph"/>
        <w:numPr>
          <w:ilvl w:val="0"/>
          <w:numId w:val="2"/>
        </w:numPr>
        <w:spacing w:after="40" w:line="264"/>
      </w:pPr>
      <w:r>
        <w:rPr>
          <w:rFonts w:ascii="Calibri" w:cs="Calibri" w:eastAsia="Calibri" w:hAnsi="Calibri"/>
          <w:b/>
          <w:bCs/>
          <w:sz w:val="20"/>
          <w:szCs w:val="20"/>
        </w:rPr>
        <w:t xml:space="preserve">Week 2</w:t>
      </w:r>
      <w:r>
        <w:rPr>
          <w:rFonts w:ascii="Calibri" w:cs="Calibri" w:eastAsia="Calibri" w:hAnsi="Calibri"/>
          <w:sz w:val="20"/>
          <w:szCs w:val="20"/>
        </w:rPr>
        <w:t xml:space="preserve"> — agent loop end to end in n8n on existing seed data; engine deployed as HTTP tools</w:t>
      </w:r>
    </w:p>
    <w:p>
      <w:pPr>
        <w:pStyle w:val="ListParagraph"/>
        <w:numPr>
          <w:ilvl w:val="0"/>
          <w:numId w:val="2"/>
        </w:numPr>
        <w:spacing w:after="40" w:line="264"/>
      </w:pPr>
      <w:r>
        <w:rPr>
          <w:rFonts w:ascii="Calibri" w:cs="Calibri" w:eastAsia="Calibri" w:hAnsi="Calibri"/>
          <w:b/>
          <w:bCs/>
          <w:sz w:val="20"/>
          <w:szCs w:val="20"/>
        </w:rPr>
        <w:t xml:space="preserve">Week 3</w:t>
      </w:r>
      <w:r>
        <w:rPr>
          <w:rFonts w:ascii="Calibri" w:cs="Calibri" w:eastAsia="Calibri" w:hAnsi="Calibri"/>
          <w:sz w:val="20"/>
          <w:szCs w:val="20"/>
        </w:rPr>
        <w:t xml:space="preserve"> — verifier and evaluation set</w:t>
      </w:r>
    </w:p>
    <w:p>
      <w:pPr>
        <w:pStyle w:val="ListParagraph"/>
        <w:numPr>
          <w:ilvl w:val="0"/>
          <w:numId w:val="2"/>
        </w:numPr>
        <w:spacing w:after="40" w:line="264"/>
      </w:pPr>
      <w:r>
        <w:rPr>
          <w:rFonts w:ascii="Calibri" w:cs="Calibri" w:eastAsia="Calibri" w:hAnsi="Calibri"/>
          <w:b/>
          <w:bCs/>
          <w:sz w:val="20"/>
          <w:szCs w:val="20"/>
        </w:rPr>
        <w:t xml:space="preserve">Week 4</w:t>
      </w:r>
      <w:r>
        <w:rPr>
          <w:rFonts w:ascii="Calibri" w:cs="Calibri" w:eastAsia="Calibri" w:hAnsi="Calibri"/>
          <w:sz w:val="20"/>
          <w:szCs w:val="20"/>
        </w:rPr>
        <w:t xml:space="preserve"> — visible tool trace; food data extended where demo scenarios need it</w:t>
      </w:r>
    </w:p>
    <w:p>
      <w:pPr>
        <w:pStyle w:val="ListParagraph"/>
        <w:numPr>
          <w:ilvl w:val="0"/>
          <w:numId w:val="2"/>
        </w:numPr>
        <w:spacing w:after="40" w:line="264"/>
      </w:pPr>
      <w:r>
        <w:rPr>
          <w:rFonts w:ascii="Calibri" w:cs="Calibri" w:eastAsia="Calibri" w:hAnsi="Calibri"/>
          <w:b/>
          <w:bCs/>
          <w:sz w:val="20"/>
          <w:szCs w:val="20"/>
        </w:rPr>
        <w:t xml:space="preserve">Week 5</w:t>
      </w:r>
      <w:r>
        <w:rPr>
          <w:rFonts w:ascii="Calibri" w:cs="Calibri" w:eastAsia="Calibri" w:hAnsi="Calibri"/>
          <w:sz w:val="20"/>
          <w:szCs w:val="20"/>
        </w:rPr>
        <w:t xml:space="preserve"> — rehearsal, backup recording, remaining PRD sections, buffer</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RESOURCES</w:t>
      </w:r>
    </w:p>
    <w:p>
      <w:pPr>
        <w:spacing w:after="80" w:line="264"/>
      </w:pPr>
      <w:r>
        <w:rPr>
          <w:rFonts w:ascii="Calibri" w:cs="Calibri" w:eastAsia="Calibri" w:hAnsi="Calibri"/>
          <w:sz w:val="20"/>
          <w:szCs w:val="20"/>
        </w:rPr>
        <w:t xml:space="preserve">Engineering: 1 (founder, AI-assisted) | Agent: n8n | Frontend: React, in this repo | QA: founder + automated eval harness | Budget: ~$100–200 in API spend over 5 weeks with prompt caching, plus an n8n cloud plan</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OPEN QUESTIONS</w:t>
      </w:r>
    </w:p>
    <w:p>
      <w:pPr>
        <w:pStyle w:val="ListParagraph"/>
        <w:numPr>
          <w:ilvl w:val="0"/>
          <w:numId w:val="4"/>
        </w:numPr>
        <w:spacing w:after="40" w:line="264"/>
      </w:pPr>
      <w:r>
        <w:rPr>
          <w:rFonts w:ascii="Calibri" w:cs="Calibri" w:eastAsia="Calibri" w:hAnsi="Calibri"/>
          <w:b/>
          <w:bCs/>
          <w:sz w:val="20"/>
          <w:szCs w:val="20"/>
        </w:rPr>
        <w:t xml:space="preserve">Does the weekly menu stay in the demo?</w:t>
      </w:r>
      <w:r>
        <w:rPr>
          <w:rFonts w:ascii="Calibri" w:cs="Calibri" w:eastAsia="Calibri" w:hAnsi="Calibri"/>
          <w:sz w:val="20"/>
          <w:szCs w:val="20"/>
        </w:rPr>
        <w:t xml:space="preserve"> It fails the "one core job" test (planning + tracking). Recommendation: cut from the narrative, keep the code. Pending instructor review.</w:t>
      </w:r>
    </w:p>
    <w:p>
      <w:pPr>
        <w:pStyle w:val="ListParagraph"/>
        <w:numPr>
          <w:ilvl w:val="0"/>
          <w:numId w:val="4"/>
        </w:numPr>
        <w:spacing w:after="40" w:line="264"/>
      </w:pPr>
      <w:r>
        <w:rPr>
          <w:rFonts w:ascii="Calibri" w:cs="Calibri" w:eastAsia="Calibri" w:hAnsi="Calibri"/>
          <w:b/>
          <w:bCs/>
          <w:sz w:val="20"/>
          <w:szCs w:val="20"/>
        </w:rPr>
        <w:t xml:space="preserve">Minimal memory in V0?</w:t>
      </w:r>
      <w:r>
        <w:rPr>
          <w:rFonts w:ascii="Calibri" w:cs="Calibri" w:eastAsia="Calibri" w:hAnsi="Calibri"/>
          <w:sz w:val="20"/>
          <w:szCs w:val="20"/>
        </w:rPr>
        <w:t xml:space="preserve"> Remembering rejected suggestions is cheap and strengthens the "agentic" and "why not ChatGPT" cases. Pending the same review.</w:t>
      </w:r>
    </w:p>
    <w:p>
      <w:pPr>
        <w:pStyle w:val="ListParagraph"/>
        <w:numPr>
          <w:ilvl w:val="0"/>
          <w:numId w:val="4"/>
        </w:numPr>
        <w:spacing w:after="40" w:line="264"/>
      </w:pPr>
      <w:r>
        <w:rPr>
          <w:rFonts w:ascii="Calibri" w:cs="Calibri" w:eastAsia="Calibri" w:hAnsi="Calibri"/>
          <w:b/>
          <w:bCs/>
          <w:sz w:val="20"/>
          <w:szCs w:val="20"/>
        </w:rPr>
        <w:t xml:space="preserve">Food data verification.</w:t>
      </w:r>
      <w:r>
        <w:rPr>
          <w:rFonts w:ascii="Calibri" w:cs="Calibri" w:eastAsia="Calibri" w:hAnsi="Calibri"/>
          <w:sz w:val="20"/>
          <w:szCs w:val="20"/>
        </w:rPr>
        <w:t xml:space="preserve"> The ingredient-first approach is settled; each ingredient GI still needs checking against its cited source, and packaged and restaurant foods need a different source. GI values must come from published tables — never from the model.</w:t>
      </w:r>
    </w:p>
    <w:p>
      <w:pPr>
        <w:pStyle w:val="ListParagraph"/>
        <w:numPr>
          <w:ilvl w:val="0"/>
          <w:numId w:val="4"/>
        </w:numPr>
        <w:spacing w:after="40" w:line="264"/>
      </w:pPr>
      <w:r>
        <w:rPr>
          <w:rFonts w:ascii="Calibri" w:cs="Calibri" w:eastAsia="Calibri" w:hAnsi="Calibri"/>
          <w:b/>
          <w:bCs/>
          <w:sz w:val="20"/>
          <w:szCs w:val="20"/>
        </w:rPr>
        <w:t xml:space="preserve">Where exactly is the FDA line</w:t>
      </w:r>
      <w:r>
        <w:rPr>
          <w:rFonts w:ascii="Calibri" w:cs="Calibri" w:eastAsia="Calibri" w:hAnsi="Calibri"/>
          <w:sz w:val="20"/>
          <w:szCs w:val="20"/>
        </w:rPr>
        <w:t xml:space="preserve"> between general wellness and a regulated device for a "can I eat this" verdict aimed at diagnosed users?</w:t>
      </w:r>
    </w:p>
    <w:p>
      <w:pPr>
        <w:keepNext/>
        <w:pBdr>
          <w:bottom w:val="single" w:color="D9E1DD" w:sz="6" w:space="3"/>
        </w:pBdr>
        <w:spacing w:after="60" w:before="190"/>
      </w:pPr>
      <w:r>
        <w:rPr>
          <w:rFonts w:ascii="Calibri" w:cs="Calibri" w:eastAsia="Calibri" w:hAnsi="Calibri"/>
          <w:b/>
          <w:bCs/>
          <w:color w:val="1C6B49"/>
          <w:spacing w:val="25"/>
          <w:sz w:val="17"/>
          <w:szCs w:val="17"/>
        </w:rPr>
        <w:t xml:space="preserve">ASSUMPTIONS MADE</w:t>
      </w:r>
    </w:p>
    <w:p>
      <w:pPr>
        <w:pStyle w:val="ListParagraph"/>
        <w:numPr>
          <w:ilvl w:val="0"/>
          <w:numId w:val="2"/>
        </w:numPr>
        <w:spacing w:after="40" w:line="264"/>
      </w:pPr>
      <w:r>
        <w:rPr>
          <w:rFonts w:ascii="Calibri" w:cs="Calibri" w:eastAsia="Calibri" w:hAnsi="Calibri"/>
          <w:sz w:val="20"/>
          <w:szCs w:val="20"/>
        </w:rPr>
        <w:t xml:space="preserve">The pitch audience values a proven architectural claim over feature breadth.</w:t>
      </w:r>
    </w:p>
    <w:p>
      <w:pPr>
        <w:pStyle w:val="ListParagraph"/>
        <w:numPr>
          <w:ilvl w:val="0"/>
          <w:numId w:val="2"/>
        </w:numPr>
        <w:spacing w:after="40" w:line="264"/>
      </w:pPr>
      <w:r>
        <w:rPr>
          <w:rFonts w:ascii="Calibri" w:cs="Calibri" w:eastAsia="Calibri" w:hAnsi="Calibri"/>
          <w:sz w:val="20"/>
          <w:szCs w:val="20"/>
        </w:rPr>
        <w:t xml:space="preserve">Week 1 counts as complete: the engine builds, runs, and has been verified end to end against hand calculation; the UI is English; the design direction is chosen and prototyped.</w:t>
      </w:r>
    </w:p>
    <w:p>
      <w:pPr>
        <w:pStyle w:val="ListParagraph"/>
        <w:numPr>
          <w:ilvl w:val="0"/>
          <w:numId w:val="2"/>
        </w:numPr>
        <w:spacing w:after="40" w:line="264"/>
      </w:pPr>
      <w:r>
        <w:rPr>
          <w:rFonts w:ascii="Calibri" w:cs="Calibri" w:eastAsia="Calibri" w:hAnsi="Calibri"/>
          <w:sz w:val="20"/>
          <w:szCs w:val="20"/>
        </w:rPr>
        <w:t xml:space="preserve">US-only scope holds; the checklist fixes (menu cut, memory in V0, JTBD reframe) are not yet applied to the full PRD pending review.</w:t>
      </w:r>
    </w:p>
    <w:p>
      <w:pPr>
        <w:pStyle w:val="ListParagraph"/>
        <w:numPr>
          <w:ilvl w:val="0"/>
          <w:numId w:val="2"/>
        </w:numPr>
        <w:spacing w:after="40" w:line="264"/>
      </w:pPr>
      <w:r>
        <w:rPr>
          <w:rFonts w:ascii="Calibri" w:cs="Calibri" w:eastAsia="Calibri" w:hAnsi="Calibri"/>
          <w:sz w:val="20"/>
          <w:szCs w:val="20"/>
        </w:rPr>
        <w:t xml:space="preserve">Market figures are recalled from CDC/ADA reports and require verification before external use.</w:t>
      </w:r>
    </w:p>
    <w:sectPr>
      <w:pgSz w:w="12240" w:h="15840" w:orient="portrait"/>
      <w:pgMar w:top="860" w:right="1080" w:bottom="8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C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DiaBite — One-Page PRD</dc:title>
  <dc:creator>Nadia Babich</dc:creator>
  <cp:lastModifiedBy>Un-named</cp:lastModifiedBy>
  <cp:revision>1</cp:revision>
  <dcterms:created xsi:type="dcterms:W3CDTF">2026-09-16T13:53:18.441Z</dcterms:created>
  <dcterms:modified xsi:type="dcterms:W3CDTF">2026-09-16T13:53:18.446Z</dcterms:modified>
</cp:coreProperties>
</file>

<file path=docProps/custom.xml><?xml version="1.0" encoding="utf-8"?>
<Properties xmlns="http://schemas.openxmlformats.org/officeDocument/2006/custom-properties" xmlns:vt="http://schemas.openxmlformats.org/officeDocument/2006/docPropsVTypes"/>
</file>