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png" ContentType="image/png"/>
  <Override PartName="/word/media/rId56.png" ContentType="image/png"/>
  <Override PartName="/word/media/rId23.png" ContentType="image/png"/>
  <Override PartName="/word/media/rId27.png" ContentType="image/png"/>
  <Override PartName="/word/media/rId30.png" ContentType="image/png"/>
  <Override PartName="/word/media/rId34.png" ContentType="image/png"/>
  <Override PartName="/word/media/rId37.png" ContentType="image/png"/>
  <Override PartName="/word/media/rId41.png" ContentType="image/png"/>
  <Override PartName="/word/media/rId44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№3</w:t>
      </w:r>
    </w:p>
    <w:p>
      <w:pPr>
        <w:pStyle w:val="Subtitle"/>
      </w:pPr>
      <w:r>
        <w:t xml:space="preserve">Математический</w:t>
      </w:r>
      <w:r>
        <w:t xml:space="preserve"> </w:t>
      </w:r>
      <w:r>
        <w:t xml:space="preserve">набор</w:t>
      </w:r>
      <w:r>
        <w:t xml:space="preserve"> </w:t>
      </w:r>
      <w:r>
        <w:t xml:space="preserve">в</w:t>
      </w:r>
      <w:r>
        <w:t xml:space="preserve"> </w:t>
      </w:r>
      <w:r>
        <w:t xml:space="preserve">LaTeX</w:t>
      </w:r>
    </w:p>
    <w:p>
      <w:pPr>
        <w:pStyle w:val="Author"/>
      </w:pPr>
      <w:r>
        <w:t xml:space="preserve">Надиа</w:t>
      </w:r>
      <w:r>
        <w:t xml:space="preserve"> </w:t>
      </w:r>
      <w:r>
        <w:t xml:space="preserve">Эззакат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Освоить основные возможности LaTeX для набора математических формул, изучить различные режимы математического набора и научиться работать с пакетом amsmath.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Изучить inline и display режимы математического набора</w:t>
      </w:r>
    </w:p>
    <w:p>
      <w:pPr>
        <w:numPr>
          <w:ilvl w:val="0"/>
          <w:numId w:val="1001"/>
        </w:numPr>
        <w:pStyle w:val="Compact"/>
      </w:pPr>
      <w:r>
        <w:t xml:space="preserve">Освоить работу с индексами и степенями</w:t>
      </w:r>
    </w:p>
    <w:p>
      <w:pPr>
        <w:numPr>
          <w:ilvl w:val="0"/>
          <w:numId w:val="1001"/>
        </w:numPr>
        <w:pStyle w:val="Compact"/>
      </w:pPr>
      <w:r>
        <w:t xml:space="preserve">Научиться набирать греческие буквы и математические функции</w:t>
      </w:r>
    </w:p>
    <w:p>
      <w:pPr>
        <w:numPr>
          <w:ilvl w:val="0"/>
          <w:numId w:val="1001"/>
        </w:numPr>
        <w:pStyle w:val="Compact"/>
      </w:pPr>
      <w:r>
        <w:t xml:space="preserve">Изучить многострочные формулы с выравниванием</w:t>
      </w:r>
    </w:p>
    <w:p>
      <w:pPr>
        <w:numPr>
          <w:ilvl w:val="0"/>
          <w:numId w:val="1001"/>
        </w:numPr>
        <w:pStyle w:val="Compact"/>
      </w:pPr>
      <w:r>
        <w:t xml:space="preserve">Освоить работу с матрицами</w:t>
      </w:r>
    </w:p>
    <w:p>
      <w:pPr>
        <w:numPr>
          <w:ilvl w:val="0"/>
          <w:numId w:val="1001"/>
        </w:numPr>
        <w:pStyle w:val="Compact"/>
      </w:pPr>
      <w:r>
        <w:t xml:space="preserve">Изучить различные шрифты в математическом режиме</w:t>
      </w:r>
    </w:p>
    <w:p>
      <w:pPr>
        <w:numPr>
          <w:ilvl w:val="0"/>
          <w:numId w:val="1001"/>
        </w:numPr>
        <w:pStyle w:val="Compact"/>
      </w:pPr>
      <w:r>
        <w:t xml:space="preserve">Научиться использовать жирный шрифт для математических символов</w:t>
      </w:r>
    </w:p>
    <w:bookmarkEnd w:id="21"/>
    <w:bookmarkStart w:id="22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LaTeX предоставляет мощные возможности для набора математических формул. Основные понятия включают: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Математический режим</w:t>
      </w:r>
      <w:r>
        <w:t xml:space="preserve"> </w:t>
      </w:r>
      <w:r>
        <w:t xml:space="preserve">— специальное состояние LaTeX для набора формул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Inline математика</w:t>
      </w:r>
      <w:r>
        <w:t xml:space="preserve"> </w:t>
      </w:r>
      <w:r>
        <w:t xml:space="preserve">— формулы внутри текста (обозначается</w:t>
      </w:r>
      <w:r>
        <w:t xml:space="preserve"> </w:t>
      </w:r>
      <m:oMath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</m:oMath>
      <w:r>
        <w:t xml:space="preserve">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Display математика</w:t>
      </w:r>
      <w:r>
        <w:t xml:space="preserve"> </w:t>
      </w:r>
      <w:r>
        <w:t xml:space="preserve">— выключные формулы (обозначается […])</w:t>
      </w:r>
    </w:p>
    <w:p>
      <w:pPr>
        <w:pStyle w:val="FirstParagraph"/>
      </w:pPr>
      <w:r>
        <w:t xml:space="preserve">Пакет</w:t>
      </w:r>
      <w:r>
        <w:t xml:space="preserve"> </w:t>
      </w:r>
      <w:r>
        <w:rPr>
          <w:bCs/>
          <w:b/>
        </w:rPr>
        <w:t xml:space="preserve">amsmath</w:t>
      </w:r>
      <w:r>
        <w:t xml:space="preserve"> </w:t>
      </w:r>
      <w:r>
        <w:t xml:space="preserve">расширяет базовые возможности и предоставляет дополнительные окружения для многострочных формул, матриц и других математических конструкций.</w:t>
      </w:r>
    </w:p>
    <w:bookmarkEnd w:id="22"/>
    <w:bookmarkStart w:id="60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26" w:name="inline-и-display-математика"/>
    <w:p>
      <w:pPr>
        <w:pStyle w:val="Heading2"/>
      </w:pPr>
      <w:r>
        <w:t xml:space="preserve">1. Inline и Display математика</w:t>
      </w:r>
    </w:p>
    <w:p>
      <w:pPr>
        <w:pStyle w:val="CaptionedFigure"/>
      </w:pPr>
      <w:r>
        <w:drawing>
          <wp:inline>
            <wp:extent cx="3733800" cy="2326658"/>
            <wp:effectExtent b="0" l="0" r="0" t="0"/>
            <wp:docPr descr="Пример inline и display математики" title="" id="24" name="Picture"/>
            <a:graphic>
              <a:graphicData uri="http://schemas.openxmlformats.org/drawingml/2006/picture">
                <pic:pic>
                  <pic:nvPicPr>
                    <pic:cNvPr descr="images/image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266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Пример inline и display математики</w:t>
      </w:r>
    </w:p>
    <w:bookmarkEnd w:id="26"/>
    <w:bookmarkStart w:id="33" w:name="индексы-и-степени"/>
    <w:p>
      <w:pPr>
        <w:pStyle w:val="Heading2"/>
      </w:pPr>
      <w:r>
        <w:t xml:space="preserve">2. Индексы и степени</w:t>
      </w:r>
    </w:p>
    <w:p>
      <w:pPr>
        <w:pStyle w:val="CaptionedFigure"/>
      </w:pPr>
      <w:r>
        <w:drawing>
          <wp:inline>
            <wp:extent cx="3733800" cy="2558730"/>
            <wp:effectExtent b="0" l="0" r="0" t="0"/>
            <wp:docPr descr="Пример Индексы и степени" title="" id="28" name="Picture"/>
            <a:graphic>
              <a:graphicData uri="http://schemas.openxmlformats.org/drawingml/2006/picture">
                <pic:pic>
                  <pic:nvPicPr>
                    <pic:cNvPr descr="images/image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87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Пример Индексы и степени</w:t>
      </w:r>
    </w:p>
    <w:p>
      <w:pPr>
        <w:pStyle w:val="CaptionedFigure"/>
      </w:pPr>
      <w:r>
        <w:drawing>
          <wp:inline>
            <wp:extent cx="3733800" cy="1756552"/>
            <wp:effectExtent b="0" l="0" r="0" t="0"/>
            <wp:docPr descr="Пример Индексы и степени" title="" id="31" name="Picture"/>
            <a:graphic>
              <a:graphicData uri="http://schemas.openxmlformats.org/drawingml/2006/picture">
                <pic:pic>
                  <pic:nvPicPr>
                    <pic:cNvPr descr="images/image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565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Пример Индексы и степени</w:t>
      </w:r>
    </w:p>
    <w:p>
      <w:pPr>
        <w:pStyle w:val="BodyText"/>
      </w:pPr>
      <w:r>
        <w:t xml:space="preserve">Код для этого примера:</w:t>
      </w:r>
    </w:p>
    <w:bookmarkEnd w:id="33"/>
    <w:bookmarkStart w:id="40" w:name="греческие-буквы"/>
    <w:p>
      <w:pPr>
        <w:pStyle w:val="Heading2"/>
      </w:pPr>
      <w:r>
        <w:t xml:space="preserve">3. Греческие буквы</w:t>
      </w:r>
    </w:p>
    <w:p>
      <w:pPr>
        <w:pStyle w:val="CaptionedFigure"/>
      </w:pPr>
      <w:r>
        <w:drawing>
          <wp:inline>
            <wp:extent cx="3733800" cy="1514457"/>
            <wp:effectExtent b="0" l="0" r="0" t="0"/>
            <wp:docPr descr="Пример Греческие буквы" title="" id="35" name="Picture"/>
            <a:graphic>
              <a:graphicData uri="http://schemas.openxmlformats.org/drawingml/2006/picture">
                <pic:pic>
                  <pic:nvPicPr>
                    <pic:cNvPr descr="images/image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144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Пример Греческие буквы</w:t>
      </w:r>
    </w:p>
    <w:p>
      <w:pPr>
        <w:pStyle w:val="CaptionedFigure"/>
      </w:pPr>
      <w:r>
        <w:drawing>
          <wp:inline>
            <wp:extent cx="3733800" cy="429583"/>
            <wp:effectExtent b="0" l="0" r="0" t="0"/>
            <wp:docPr descr="Пример Греческие буквы" title="" id="38" name="Picture"/>
            <a:graphic>
              <a:graphicData uri="http://schemas.openxmlformats.org/drawingml/2006/picture">
                <pic:pic>
                  <pic:nvPicPr>
                    <pic:cNvPr descr="images/image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9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Пример Греческие буквы</w:t>
      </w:r>
    </w:p>
    <w:bookmarkEnd w:id="40"/>
    <w:bookmarkStart w:id="50" w:name="интегралы-и-суммы"/>
    <w:p>
      <w:pPr>
        <w:pStyle w:val="Heading2"/>
      </w:pPr>
      <w:r>
        <w:t xml:space="preserve">4. Интегралы и суммы</w:t>
      </w:r>
    </w:p>
    <w:p>
      <w:pPr>
        <w:pStyle w:val="FirstParagraph"/>
      </w:pPr>
      <w:r>
        <w:drawing>
          <wp:inline>
            <wp:extent cx="3733800" cy="2291080"/>
            <wp:effectExtent b="0" l="0" r="0" t="0"/>
            <wp:docPr descr="Пример Интегралы и суммы" title="" id="42" name="Picture"/>
            <a:graphic>
              <a:graphicData uri="http://schemas.openxmlformats.org/drawingml/2006/picture">
                <pic:pic>
                  <pic:nvPicPr>
                    <pic:cNvPr descr="images/image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91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 5. Многострочные формулы</w:t>
      </w:r>
      <w:r>
        <w:t xml:space="preserve"> </w:t>
      </w:r>
      <w:r>
        <w:drawing>
          <wp:inline>
            <wp:extent cx="3733800" cy="3817963"/>
            <wp:effectExtent b="0" l="0" r="0" t="0"/>
            <wp:docPr descr="Пример Многострочные формулы" title="" id="45" name="Picture"/>
            <a:graphic>
              <a:graphicData uri="http://schemas.openxmlformats.org/drawingml/2006/picture">
                <pic:pic>
                  <pic:nvPicPr>
                    <pic:cNvPr descr="images/image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179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edFigure"/>
      </w:pPr>
      <w:r>
        <w:drawing>
          <wp:inline>
            <wp:extent cx="4267200" cy="4116865"/>
            <wp:effectExtent b="0" l="0" r="0" t="0"/>
            <wp:docPr descr="Пример Многострочные формулы" title="" id="48" name="Picture"/>
            <a:graphic>
              <a:graphicData uri="http://schemas.openxmlformats.org/drawingml/2006/picture">
                <pic:pic>
                  <pic:nvPicPr>
                    <pic:cNvPr descr="images/image10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116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Пример Многострочные формулы</w:t>
      </w:r>
    </w:p>
    <w:bookmarkEnd w:id="50"/>
    <w:bookmarkStart w:id="54" w:name="матрицы"/>
    <w:p>
      <w:pPr>
        <w:pStyle w:val="Heading2"/>
      </w:pPr>
      <w:r>
        <w:t xml:space="preserve">6. Матрицы</w:t>
      </w:r>
    </w:p>
    <w:p>
      <w:pPr>
        <w:pStyle w:val="CaptionedFigure"/>
      </w:pPr>
      <w:r>
        <w:drawing>
          <wp:inline>
            <wp:extent cx="3733800" cy="3066694"/>
            <wp:effectExtent b="0" l="0" r="0" t="0"/>
            <wp:docPr descr="Пример Матрицы" title="" id="52" name="Picture"/>
            <a:graphic>
              <a:graphicData uri="http://schemas.openxmlformats.org/drawingml/2006/picture">
                <pic:pic>
                  <pic:nvPicPr>
                    <pic:cNvPr descr="images/image9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666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Пример Матрицы</w:t>
      </w:r>
    </w:p>
    <w:bookmarkEnd w:id="54"/>
    <w:bookmarkStart w:id="55" w:name="различные-шрифты-в-математике"/>
    <w:p>
      <w:pPr>
        <w:pStyle w:val="Heading2"/>
      </w:pPr>
      <w:r>
        <w:t xml:space="preserve">7. Различные шрифты в математике</w:t>
      </w:r>
    </w:p>
    <w:p>
      <w:pPr>
        <w:pStyle w:val="FirstParagraph"/>
      </w:pPr>
      <w:r>
        <w:t xml:space="preserve">Для этого раздела были изучены различные шрифты:</w:t>
      </w:r>
    </w:p>
    <w:bookmarkEnd w:id="55"/>
    <w:bookmarkStart w:id="59" w:name="жирный-шрифт-в-математике"/>
    <w:p>
      <w:pPr>
        <w:pStyle w:val="Heading2"/>
      </w:pPr>
      <w:r>
        <w:t xml:space="preserve">8. Жирный шрифт в математике</w:t>
      </w:r>
    </w:p>
    <w:p>
      <w:pPr>
        <w:pStyle w:val="CaptionedFigure"/>
      </w:pPr>
      <w:r>
        <w:drawing>
          <wp:inline>
            <wp:extent cx="3733800" cy="2400553"/>
            <wp:effectExtent b="0" l="0" r="0" t="0"/>
            <wp:docPr descr="Пример Жирный шрифт в математике" title="" id="57" name="Picture"/>
            <a:graphic>
              <a:graphicData uri="http://schemas.openxmlformats.org/drawingml/2006/picture">
                <pic:pic>
                  <pic:nvPicPr>
                    <pic:cNvPr descr="images/image11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00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Пример Жирный шрифт в математике</w:t>
      </w:r>
    </w:p>
    <w:bookmarkEnd w:id="59"/>
    <w:bookmarkEnd w:id="60"/>
    <w:bookmarkStart w:id="61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изучены основные возможности LaTeX для математического набора: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Inline и display режимы</w:t>
      </w:r>
      <w:r>
        <w:t xml:space="preserve"> </w:t>
      </w:r>
      <w:r>
        <w:t xml:space="preserve">— для вставки формул внутри текста и в отдельные строки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Индексы и степени</w:t>
      </w:r>
      <w:r>
        <w:t xml:space="preserve"> </w:t>
      </w:r>
      <w:r>
        <w:t xml:space="preserve">— с помощью символов</w:t>
      </w:r>
      <w:r>
        <w:t xml:space="preserve"> </w:t>
      </w:r>
      <w:r>
        <w:rPr>
          <w:rStyle w:val="VerbatimChar"/>
        </w:rPr>
        <w:t xml:space="preserve">_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^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Греческие буквы</w:t>
      </w:r>
      <w:r>
        <w:t xml:space="preserve"> </w:t>
      </w:r>
      <w:r>
        <w:t xml:space="preserve">— команды вида</w:t>
      </w:r>
      <w:r>
        <w:t xml:space="preserve"> </w:t>
      </w:r>
      <w:r>
        <w:rPr>
          <w:rStyle w:val="VerbatimChar"/>
        </w:rPr>
        <w:t xml:space="preserve">\alpha</w:t>
      </w:r>
      <w:r>
        <w:t xml:space="preserve">,</w:t>
      </w:r>
      <w:r>
        <w:t xml:space="preserve"> </w:t>
      </w:r>
      <w:r>
        <w:rPr>
          <w:rStyle w:val="VerbatimChar"/>
        </w:rPr>
        <w:t xml:space="preserve">\beta</w:t>
      </w:r>
      <w:r>
        <w:t xml:space="preserve">, и т.д.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Математические функции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$\sin$</w:t>
      </w:r>
      <w:r>
        <w:t xml:space="preserve">,</w:t>
      </w:r>
      <w:r>
        <w:t xml:space="preserve"> </w:t>
      </w:r>
      <w:r>
        <w:rPr>
          <w:rStyle w:val="VerbatimChar"/>
        </w:rPr>
        <w:t xml:space="preserve">$\cos$</w:t>
      </w:r>
      <w:r>
        <w:t xml:space="preserve">,</w:t>
      </w:r>
      <w:r>
        <w:t xml:space="preserve"> </w:t>
      </w:r>
      <w:r>
        <w:rPr>
          <w:rStyle w:val="VerbatimChar"/>
        </w:rPr>
        <w:t xml:space="preserve">$\log$</w:t>
      </w:r>
      <w:r>
        <w:t xml:space="preserve"> </w:t>
      </w:r>
      <w:r>
        <w:t xml:space="preserve">и другие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Интегралы и суммы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$\int$</w:t>
      </w:r>
      <w:r>
        <w:t xml:space="preserve">,</w:t>
      </w:r>
      <w:r>
        <w:t xml:space="preserve"> </w:t>
      </w:r>
      <w:r>
        <w:rPr>
          <w:rStyle w:val="VerbatimChar"/>
        </w:rPr>
        <w:t xml:space="preserve">$\sum$</w:t>
      </w:r>
      <w:r>
        <w:t xml:space="preserve">,</w:t>
      </w:r>
      <w:r>
        <w:t xml:space="preserve"> </w:t>
      </w:r>
      <w:r>
        <w:rPr>
          <w:rStyle w:val="VerbatimChar"/>
        </w:rPr>
        <w:t xml:space="preserve">$\prod$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Многострочные формулы</w:t>
      </w:r>
      <w:r>
        <w:t xml:space="preserve"> </w:t>
      </w:r>
      <w:r>
        <w:t xml:space="preserve">— окружение</w:t>
      </w:r>
      <w:r>
        <w:t xml:space="preserve"> </w:t>
      </w:r>
      <w:r>
        <w:rPr>
          <w:rStyle w:val="VerbatimChar"/>
        </w:rPr>
        <w:t xml:space="preserve">align*</w:t>
      </w:r>
      <w:r>
        <w:t xml:space="preserve"> </w:t>
      </w:r>
      <w:r>
        <w:t xml:space="preserve">из пакета amsmath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Матрицы</w:t>
      </w:r>
      <w:r>
        <w:t xml:space="preserve"> </w:t>
      </w:r>
      <w:r>
        <w:t xml:space="preserve">— окружения</w:t>
      </w:r>
      <w:r>
        <w:t xml:space="preserve"> </w:t>
      </w:r>
      <w:r>
        <w:rPr>
          <w:rStyle w:val="VerbatimChar"/>
        </w:rPr>
        <w:t xml:space="preserve">pmatrix</w:t>
      </w:r>
      <w:r>
        <w:t xml:space="preserve">,</w:t>
      </w:r>
      <w:r>
        <w:t xml:space="preserve"> </w:t>
      </w:r>
      <w:r>
        <w:rPr>
          <w:rStyle w:val="VerbatimChar"/>
        </w:rPr>
        <w:t xml:space="preserve">bmatrix</w:t>
      </w:r>
      <w:r>
        <w:t xml:space="preserve">,</w:t>
      </w:r>
      <w:r>
        <w:t xml:space="preserve"> </w:t>
      </w:r>
      <w:r>
        <w:rPr>
          <w:rStyle w:val="VerbatimChar"/>
        </w:rPr>
        <w:t xml:space="preserve">vmatrix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Различные шрифты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$\mathrm$</w:t>
      </w:r>
      <w:r>
        <w:t xml:space="preserve">,</w:t>
      </w:r>
      <w:r>
        <w:t xml:space="preserve"> </w:t>
      </w:r>
      <w:r>
        <w:rPr>
          <w:rStyle w:val="VerbatimChar"/>
        </w:rPr>
        <w:t xml:space="preserve">$\mathbf$</w:t>
      </w:r>
      <w:r>
        <w:t xml:space="preserve">,</w:t>
      </w:r>
      <w:r>
        <w:t xml:space="preserve"> </w:t>
      </w:r>
      <w:r>
        <w:rPr>
          <w:rStyle w:val="VerbatimChar"/>
        </w:rPr>
        <w:t xml:space="preserve">$\mathit$</w:t>
      </w:r>
      <w:r>
        <w:t xml:space="preserve">,</w:t>
      </w:r>
      <w:r>
        <w:t xml:space="preserve"> </w:t>
      </w:r>
      <w:r>
        <w:rPr>
          <w:rStyle w:val="VerbatimChar"/>
        </w:rPr>
        <w:t xml:space="preserve">$\mathbb$</w:t>
      </w:r>
      <w:r>
        <w:t xml:space="preserve">,</w:t>
      </w:r>
      <w:r>
        <w:t xml:space="preserve"> </w:t>
      </w:r>
      <w:r>
        <w:rPr>
          <w:rStyle w:val="VerbatimChar"/>
        </w:rPr>
        <w:t xml:space="preserve">$\mathcal$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Жирные символы</w:t>
      </w:r>
      <w:r>
        <w:t xml:space="preserve"> </w:t>
      </w:r>
      <w:r>
        <w:t xml:space="preserve">— пакет</w:t>
      </w:r>
      <w:r>
        <w:t xml:space="preserve"> </w:t>
      </w:r>
      <w:r>
        <w:rPr>
          <w:rStyle w:val="VerbatimChar"/>
        </w:rPr>
        <w:t xml:space="preserve">bm</w:t>
      </w:r>
      <w:r>
        <w:t xml:space="preserve"> </w:t>
      </w:r>
      <w:r>
        <w:t xml:space="preserve">и команда</w:t>
      </w:r>
      <w:r>
        <w:t xml:space="preserve"> </w:t>
      </w:r>
      <w:r>
        <w:rPr>
          <w:rStyle w:val="VerbatimChar"/>
        </w:rPr>
        <w:t xml:space="preserve">$\bm{}$</w:t>
      </w:r>
    </w:p>
    <w:p>
      <w:pPr>
        <w:pStyle w:val="FirstParagraph"/>
      </w:pPr>
      <w:r>
        <w:t xml:space="preserve">Полученные навыки позволяют создавать профессионально оформленные математические документы любой сложности.</w:t>
      </w:r>
      <w:r>
        <w:t xml:space="preserve"> </w:t>
      </w:r>
      <w:r>
        <w:t xml:space="preserve"># Список литературы</w:t>
      </w:r>
      <w:r>
        <w:t xml:space="preserve"> </w:t>
      </w:r>
      <w:r>
        <w:t xml:space="preserve">Кулябов Д. С., Королькова А. В., Геворкян М. Н. Practical scientific writing. — 2024.</w:t>
      </w:r>
    </w:p>
    <w:p>
      <w:pPr>
        <w:pStyle w:val="BodyText"/>
      </w:pPr>
      <w:r>
        <w:t xml:space="preserve">LaTeX documentation: https://www.latex-project.org/help/documentation/</w:t>
      </w:r>
    </w:p>
    <w:p>
      <w:pPr>
        <w:pStyle w:val="BodyText"/>
      </w:pPr>
      <w:r>
        <w:t xml:space="preserve">AMS Math documentation: https://www.ams.org/publications/authors/tex/amslatex</w:t>
      </w:r>
    </w:p>
    <w:bookmarkEnd w:id="6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7" Target="media/rId47.png" /><Relationship Type="http://schemas.openxmlformats.org/officeDocument/2006/relationships/image" Id="rId56" Target="media/rId56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№3</dc:title>
  <dc:creator>Надиа Эззакат</dc:creator>
  <dc:language>ru-RU</dc:language>
  <cp:keywords/>
  <dcterms:created xsi:type="dcterms:W3CDTF">2026-03-13T00:08:25Z</dcterms:created>
  <dcterms:modified xsi:type="dcterms:W3CDTF">2026-03-13T00:08:25Z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class">
    <vt:lpwstr>scrreprt</vt:lpwstr>
  </property>
  <property fmtid="{D5CDD505-2E9C-101B-9397-08002B2CF9AE}" pid="3" name="fontsize">
    <vt:lpwstr>12pt</vt:lpwstr>
  </property>
  <property fmtid="{D5CDD505-2E9C-101B-9397-08002B2CF9AE}" pid="4" name="header-includes">
    <vt:lpwstr/>
  </property>
  <property fmtid="{D5CDD505-2E9C-101B-9397-08002B2CF9AE}" pid="5" name="indent">
    <vt:lpwstr>True</vt:lpwstr>
  </property>
  <property fmtid="{D5CDD505-2E9C-101B-9397-08002B2CF9AE}" pid="6" name="linestretch">
    <vt:lpwstr>1.5</vt:lpwstr>
  </property>
  <property fmtid="{D5CDD505-2E9C-101B-9397-08002B2CF9AE}" pid="7" name="lof">
    <vt:lpwstr>True</vt:lpwstr>
  </property>
  <property fmtid="{D5CDD505-2E9C-101B-9397-08002B2CF9AE}" pid="8" name="lot">
    <vt:lpwstr>True</vt:lpwstr>
  </property>
  <property fmtid="{D5CDD505-2E9C-101B-9397-08002B2CF9AE}" pid="9" name="mainfont">
    <vt:lpwstr>PT Serif</vt:lpwstr>
  </property>
  <property fmtid="{D5CDD505-2E9C-101B-9397-08002B2CF9AE}" pid="10" name="mainfontoptions">
    <vt:lpwstr>Ligatures=TeX</vt:lpwstr>
  </property>
  <property fmtid="{D5CDD505-2E9C-101B-9397-08002B2CF9AE}" pid="11" name="monofont">
    <vt:lpwstr>PT Mono</vt:lpwstr>
  </property>
  <property fmtid="{D5CDD505-2E9C-101B-9397-08002B2CF9AE}" pid="12" name="monofontoptions">
    <vt:lpwstr>Scale=MatchLowercase</vt:lpwstr>
  </property>
  <property fmtid="{D5CDD505-2E9C-101B-9397-08002B2CF9AE}" pid="13" name="papersize">
    <vt:lpwstr>a4paper</vt:lpwstr>
  </property>
  <property fmtid="{D5CDD505-2E9C-101B-9397-08002B2CF9AE}" pid="14" name="pdf-engine">
    <vt:lpwstr>lualatex</vt:lpwstr>
  </property>
  <property fmtid="{D5CDD505-2E9C-101B-9397-08002B2CF9AE}" pid="15" name="polyglossia-lang">
    <vt:lpwstr>russian</vt:lpwstr>
  </property>
  <property fmtid="{D5CDD505-2E9C-101B-9397-08002B2CF9AE}" pid="16" name="polyglossia-otherlangs">
    <vt:lpwstr>english</vt:lpwstr>
  </property>
  <property fmtid="{D5CDD505-2E9C-101B-9397-08002B2CF9AE}" pid="17" name="romanfont">
    <vt:lpwstr>PT Serif</vt:lpwstr>
  </property>
  <property fmtid="{D5CDD505-2E9C-101B-9397-08002B2CF9AE}" pid="18" name="romanfontoptions">
    <vt:lpwstr>Ligatures=TeX</vt:lpwstr>
  </property>
  <property fmtid="{D5CDD505-2E9C-101B-9397-08002B2CF9AE}" pid="19" name="sansfont">
    <vt:lpwstr>PT Sans</vt:lpwstr>
  </property>
  <property fmtid="{D5CDD505-2E9C-101B-9397-08002B2CF9AE}" pid="20" name="sansfontoptions">
    <vt:lpwstr>Ligatures=TeX,Scale=MatchLowercase</vt:lpwstr>
  </property>
  <property fmtid="{D5CDD505-2E9C-101B-9397-08002B2CF9AE}" pid="21" name="subtitle">
    <vt:lpwstr>Математический набор в LaTeX</vt:lpwstr>
  </property>
  <property fmtid="{D5CDD505-2E9C-101B-9397-08002B2CF9AE}" pid="22" name="toc">
    <vt:lpwstr>True</vt:lpwstr>
  </property>
  <property fmtid="{D5CDD505-2E9C-101B-9397-08002B2CF9AE}" pid="23" name="toc-title">
    <vt:lpwstr>Содержание</vt:lpwstr>
  </property>
  <property fmtid="{D5CDD505-2E9C-101B-9397-08002B2CF9AE}" pid="24" name="toc_depth">
    <vt:lpwstr>2</vt:lpwstr>
  </property>
</Properties>
</file>