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Математический набор в LaTeX</w:t>
      </w:r>
    </w:p>
    <w:p>
      <w:pPr>
        <w:pStyle w:val="Author"/>
      </w:pPr>
      <w:r>
        <w:t xml:space="preserve">Надиа Эззакат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основные возможности LaTeX для набора математических формул, изучить различные режимы математического набора и научиться работать с пакетом amsmath.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inline и display режимы математического набора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индексами и степенями</w:t>
      </w:r>
    </w:p>
    <w:p>
      <w:pPr>
        <w:pStyle w:val="Compact"/>
        <w:numPr>
          <w:ilvl w:val="0"/>
          <w:numId w:val="1001"/>
        </w:numPr>
      </w:pPr>
      <w:r>
        <w:t xml:space="preserve">Научиться набирать греческие буквы и математические функции</w:t>
      </w:r>
    </w:p>
    <w:p>
      <w:pPr>
        <w:pStyle w:val="Compact"/>
        <w:numPr>
          <w:ilvl w:val="0"/>
          <w:numId w:val="1001"/>
        </w:numPr>
      </w:pPr>
      <w:r>
        <w:t xml:space="preserve">Изучить многострочные формулы с выравниванием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матрицами</w:t>
      </w:r>
    </w:p>
    <w:p>
      <w:pPr>
        <w:pStyle w:val="Compact"/>
        <w:numPr>
          <w:ilvl w:val="0"/>
          <w:numId w:val="1001"/>
        </w:numPr>
      </w:pPr>
      <w:r>
        <w:t xml:space="preserve">Изучить различные шрифты в математическом режиме</w:t>
      </w:r>
    </w:p>
    <w:p>
      <w:pPr>
        <w:pStyle w:val="Compact"/>
        <w:numPr>
          <w:ilvl w:val="0"/>
          <w:numId w:val="1001"/>
        </w:numPr>
      </w:pPr>
      <w:r>
        <w:t xml:space="preserve">Научиться использовать жирный шрифт для математических символов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LaTeX предоставляет мощные возможности для набора математических формул. Основные понятия включают: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Математический режим</w:t>
      </w:r>
      <w:r>
        <w:t xml:space="preserve"> </w:t>
      </w:r>
      <w:r>
        <w:t xml:space="preserve">— специальное состояние LaTeX для набора формул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Inline математика</w:t>
      </w:r>
      <w:r>
        <w:t xml:space="preserve"> </w:t>
      </w:r>
      <w:r>
        <w:t xml:space="preserve">— формулы внутри текста (обозначается</w:t>
      </w:r>
      <w:r>
        <w:t xml:space="preserve"> </w:t>
      </w:r>
      <m:oMath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Display математика</w:t>
      </w:r>
      <w:r>
        <w:t xml:space="preserve"> </w:t>
      </w:r>
      <w:r>
        <w:t xml:space="preserve">— выключные формулы (обозначается […])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b/>
          <w:bCs/>
        </w:rPr>
        <w:t xml:space="preserve">amsmath</w:t>
      </w:r>
      <w:r>
        <w:t xml:space="preserve"> </w:t>
      </w:r>
      <w:r>
        <w:t xml:space="preserve">расширяет базовые возможности и предоставляет дополнительные окружения для многострочных формул, матриц и других математических конструкций.</w:t>
      </w:r>
    </w:p>
    <w:bookmarkEnd w:id="11"/>
    <w:bookmarkStart w:id="1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2" w:name="inline-и-display-математика"/>
    <w:p>
      <w:pPr>
        <w:pStyle w:val="Heading2"/>
      </w:pPr>
      <w:r>
        <w:t xml:space="preserve">1. Inline и Display математика</w:t>
      </w:r>
    </w:p>
    <w:p>
      <w:pPr>
        <w:pStyle w:val="FirstParagraph"/>
      </w:pPr>
      <w:r>
        <w:rPr>
          <w:b/>
          <w:bCs/>
        </w:rPr>
        <w:t xml:space="preserve">Inline математика</w:t>
      </w:r>
      <w:r>
        <w:t xml:space="preserve"> </w:t>
      </w:r>
      <w:r>
        <w:t xml:space="preserve">(внутри текста) обрамляется одиночными знаками доллара:</w:t>
      </w:r>
    </w:p>
    <w:p>
      <w:pPr>
        <w:pStyle w:val="BodyText"/>
      </w:pPr>
      <w:r>
        <w:t xml:space="preserve">Это пример inline математики: формула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находится прямо в тексте.</w:t>
      </w:r>
      <w:r>
        <w:t xml:space="preserve"> </w:t>
      </w:r>
      <w:r>
        <w:t xml:space="preserve">Еще пример: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теорема Пифагора.</w:t>
      </w:r>
    </w:p>
    <w:p>
      <w:pPr>
        <w:pStyle w:val="BodyText"/>
      </w:pPr>
      <w:r>
        <w:rPr>
          <w:b/>
          <w:bCs/>
        </w:rPr>
        <w:t xml:space="preserve">Display математика</w:t>
      </w:r>
      <w:r>
        <w:t xml:space="preserve"> </w:t>
      </w:r>
      <w:r>
        <w:t xml:space="preserve">(выключные формулы) создается с помощью двойных знаков доллара или квадратных скобок: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Или с помощью [ ]: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x^2 + y^2 = z^2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Сравнение:</w:t>
      </w:r>
      <w:r>
        <w:t xml:space="preserve"> </w:t>
      </w:r>
      <w:r>
        <w:t xml:space="preserve">- Inline: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- интеграл внутри текста</w:t>
      </w:r>
      <w:r>
        <w:t xml:space="preserve"> </w:t>
      </w:r>
      <w:r>
        <w:t xml:space="preserve">- Display: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- интеграл на отдельной строке</w:t>
      </w:r>
    </w:p>
    <w:p>
      <w:pPr>
        <w:pStyle w:val="BodyText"/>
      </w:pPr>
      <w:r>
        <w:t xml:space="preserve">Многострочная display математика с выравниванием: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bookmarkStart w:id="13" w:name="индексы-и-степени"/>
    <w:p>
      <w:pPr>
        <w:pStyle w:val="Heading2"/>
      </w:pPr>
      <w:r>
        <w:t xml:space="preserve">2. Индексы и степени</w:t>
      </w:r>
    </w:p>
    <w:p>
      <w:pPr>
        <w:pStyle w:val="FirstParagraph"/>
      </w:pPr>
      <w:r>
        <w:rPr>
          <w:b/>
          <w:bCs/>
        </w:rPr>
        <w:t xml:space="preserve">Степени</w:t>
      </w:r>
      <w:r>
        <w:t xml:space="preserve"> </w:t>
      </w:r>
      <w:r>
        <w:t xml:space="preserve">создаются с помощью символа</w:t>
      </w:r>
      <w:r>
        <w:t xml:space="preserve"> </w:t>
      </w:r>
      <w:r>
        <w:rPr>
          <w:rStyle w:val="VerbatimChar"/>
        </w:rPr>
        <w:t xml:space="preserve">^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икс в квадрате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x</m:t>
            </m:r>
          </m:e>
          <m:sup>
            <m:r>
              <m:t>2</m:t>
            </m:r>
            <m:r>
              <m:t>y</m:t>
            </m:r>
          </m:sup>
        </m:sSup>
      </m:oMath>
      <w:r>
        <w:t xml:space="preserve"> </w:t>
      </w:r>
      <w:r>
        <w:t xml:space="preserve">- икс в степени 2y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формула Эйлера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Индексы</w:t>
      </w:r>
      <w:r>
        <w:t xml:space="preserve"> </w:t>
      </w:r>
      <w:r>
        <w:t xml:space="preserve">создаются с помощью символа</w:t>
      </w:r>
      <w:r>
        <w:t xml:space="preserve"> </w:t>
      </w:r>
      <w:r>
        <w:rPr>
          <w:rStyle w:val="VerbatimChar"/>
        </w:rPr>
        <w:t xml:space="preserve">_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икс с индексом 1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- икс с двойным индексом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- последовательность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- рекуррентная формула</w:t>
      </w:r>
    </w:p>
    <w:p>
      <w:pPr>
        <w:pStyle w:val="FirstParagraph"/>
      </w:pPr>
      <w:r>
        <w:rPr>
          <w:b/>
          <w:bCs/>
        </w:rPr>
        <w:t xml:space="preserve">Комбинация индексов и степеней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- квадрат икса с индексом i</w:t>
      </w:r>
    </w:p>
    <w:p>
      <w:pPr>
        <w:pStyle w:val="Compact"/>
        <w:numPr>
          <w:ilvl w:val="0"/>
          <w:numId w:val="1005"/>
        </w:numPr>
      </w:pP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- то же самое</w:t>
      </w:r>
    </w:p>
    <w:p>
      <w:pPr>
        <w:pStyle w:val="Compact"/>
        <w:numPr>
          <w:ilvl w:val="0"/>
          <w:numId w:val="1005"/>
        </w:numPr>
      </w:pPr>
      <m:oMath>
        <m:s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  <m:sup>
            <m:r>
              <m:t>2</m:t>
            </m:r>
          </m:sup>
        </m:sSup>
      </m:oMath>
      <w:r>
        <w:t xml:space="preserve"> </w:t>
      </w:r>
      <w:r>
        <w:t xml:space="preserve">- икс с индексом i в квадрате (отличается расположением)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- экспонента от икс в квадрате</w:t>
      </w:r>
    </w:p>
    <w:p>
      <w:pPr>
        <w:pStyle w:val="Compact"/>
        <w:numPr>
          <w:ilvl w:val="0"/>
          <w:numId w:val="1005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- интеграл с пределами</w:t>
      </w:r>
    </w:p>
    <w:p>
      <w:pPr>
        <w:pStyle w:val="FirstParagraph"/>
      </w:pPr>
      <w:r>
        <w:rPr>
          <w:b/>
          <w:bCs/>
        </w:rPr>
        <w:t xml:space="preserve">Вложенные индексы и степени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x</m:t>
            </m:r>
          </m:e>
          <m:sup>
            <m:sSup>
              <m:e>
                <m:r>
                  <m:t>y</m:t>
                </m:r>
              </m:e>
              <m:sup>
                <m:r>
                  <m:t>z</m:t>
                </m:r>
              </m:sup>
            </m:sSup>
          </m:sup>
        </m:sSup>
      </m:oMath>
      <w:r>
        <w:t xml:space="preserve"> </w:t>
      </w:r>
      <w:r>
        <w:t xml:space="preserve">- степени башней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sSub>
              <m:e>
                <m:r>
                  <m:t>b</m:t>
                </m:r>
              </m:e>
              <m:sub>
                <m:r>
                  <m:t>c</m:t>
                </m:r>
              </m:sub>
            </m:sSub>
          </m:sub>
        </m:sSub>
      </m:oMath>
      <w:r>
        <w:t xml:space="preserve"> </w:t>
      </w:r>
      <w:r>
        <w:t xml:space="preserve">- вложенные индексы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- сложная степень</w:t>
      </w:r>
    </w:p>
    <w:p>
      <w:pPr>
        <w:pStyle w:val="Compact"/>
        <w:numPr>
          <w:ilvl w:val="0"/>
          <w:numId w:val="1006"/>
        </w:numPr>
      </w:pPr>
      <m:oMath>
        <m:sSubSup>
          <m:e>
            <m:r>
              <m:t>R</m:t>
            </m:r>
          </m:e>
          <m:sub>
            <m:r>
              <m:t>i</m:t>
            </m:r>
            <m:r>
              <m:t>j</m:t>
            </m:r>
          </m:sub>
          <m:sup>
            <m:r>
              <m:t>k</m:t>
            </m:r>
            <m:r>
              <m:t>l</m:t>
            </m:r>
          </m:sup>
        </m:sSubSup>
      </m:oMath>
      <w:r>
        <w:t xml:space="preserve"> </w:t>
      </w:r>
      <w:r>
        <w:t xml:space="preserve">- тензорные обозначения</w:t>
      </w:r>
    </w:p>
    <w:bookmarkEnd w:id="13"/>
    <w:bookmarkStart w:id="14" w:name="греческие-буквы"/>
    <w:p>
      <w:pPr>
        <w:pStyle w:val="Heading2"/>
      </w:pPr>
      <w:r>
        <w:t xml:space="preserve">3. Греческие буквы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γ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π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ϕ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</m:oMath>
      </m:oMathPara>
    </w:p>
    <w:bookmarkEnd w:id="14"/>
    <w:bookmarkStart w:id="15" w:name="интегралы-и-суммы"/>
    <w:p>
      <w:pPr>
        <w:pStyle w:val="Heading2"/>
      </w:pPr>
      <w:r>
        <w:t xml:space="preserve">4. Интегралы и суммы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S</m:t>
              </m:r>
            </m:e>
          </m:acc>
        </m:oMath>
      </m:oMathPara>
    </w:p>
    <w:bookmarkEnd w:id="15"/>
    <w:bookmarkStart w:id="16" w:name="многострочные-формулы"/>
    <w:p>
      <w:pPr>
        <w:pStyle w:val="Heading2"/>
      </w:pPr>
      <w:r>
        <w:t xml:space="preserve">5. Многострочные формулы</w:t>
      </w:r>
    </w:p>
    <w:p>
      <w:pPr>
        <w:pStyle w:val="FirstParagraph"/>
      </w:pPr>
      <w:r>
        <w:t xml:space="preserve">Для многострочных формул используется окружение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из пакета amsmath: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Выравнивание по знаку равенства: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Системы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bookmarkEnd w:id="16"/>
    <w:bookmarkStart w:id="17" w:name="матрицы"/>
    <w:p>
      <w:pPr>
        <w:pStyle w:val="Heading2"/>
      </w:pPr>
      <w:r>
        <w:t xml:space="preserve">6. Матрицы</w:t>
      </w:r>
    </w:p>
    <w:p>
      <w:pPr>
        <w:pStyle w:val="FirstParagraph"/>
      </w:pPr>
      <w:r>
        <w:t xml:space="preserve">Для создания матриц используются различные окружения:</w:t>
      </w:r>
      <w:r>
        <w:t xml:space="preserve"> </w:t>
      </w:r>
      <w:r>
        <w:rPr>
          <w:b/>
          <w:bCs/>
        </w:rPr>
        <w:t xml:space="preserve">pmatrix</w:t>
      </w:r>
      <w:r>
        <w:t xml:space="preserve"> </w:t>
      </w:r>
      <w:r>
        <w:t xml:space="preserve">(круглые скобки):</w:t>
      </w:r>
    </w:p>
    <w:p>
      <w:pPr>
        <w:pStyle w:val="BodyText"/>
      </w:pPr>
      <w:r>
        <w:t xml:space="preserve">⎛ 1 2 3 ⎞</w:t>
      </w:r>
      <w:r>
        <w:t xml:space="preserve"> </w:t>
      </w:r>
      <w:r>
        <w:t xml:space="preserve">⎜ 4 5 6 ⎟</w:t>
      </w:r>
      <w:r>
        <w:t xml:space="preserve"> </w:t>
      </w:r>
      <w:r>
        <w:t xml:space="preserve">⎝ 7 8 9 ⎠</w:t>
      </w:r>
    </w:p>
    <w:p>
      <w:pPr>
        <w:pStyle w:val="BodyText"/>
      </w:pPr>
      <w:r>
        <w:rPr>
          <w:b/>
          <w:bCs/>
        </w:rPr>
        <w:t xml:space="preserve">bmatrix</w:t>
      </w:r>
      <w:r>
        <w:t xml:space="preserve"> </w:t>
      </w:r>
      <w:r>
        <w:t xml:space="preserve">(квадратные скобки):</w:t>
      </w:r>
    </w:p>
    <w:p>
      <w:pPr>
        <w:pStyle w:val="BodyText"/>
      </w:pPr>
      <w:r>
        <w:t xml:space="preserve">⎡ 1 2 3 ⎤</w:t>
      </w:r>
      <w:r>
        <w:t xml:space="preserve"> </w:t>
      </w:r>
      <w:r>
        <w:t xml:space="preserve">⎢ 4 5 6 ⎥</w:t>
      </w:r>
      <w:r>
        <w:t xml:space="preserve"> </w:t>
      </w:r>
      <w:r>
        <w:t xml:space="preserve">⎣ 7 8 9 ⎦</w:t>
      </w:r>
    </w:p>
    <w:p>
      <w:pPr>
        <w:pStyle w:val="BodyText"/>
      </w:pPr>
      <w:r>
        <w:rPr>
          <w:b/>
          <w:bCs/>
        </w:rPr>
        <w:t xml:space="preserve">vmatrix</w:t>
      </w:r>
      <w:r>
        <w:t xml:space="preserve"> </w:t>
      </w:r>
      <w:r>
        <w:t xml:space="preserve">(определитель):</w:t>
      </w:r>
    </w:p>
    <w:p>
      <w:pPr>
        <w:pStyle w:val="BodyText"/>
      </w:pPr>
      <w:r>
        <w:t xml:space="preserve">a b |</w:t>
      </w:r>
      <w:r>
        <w:br/>
      </w:r>
      <w:r>
        <w:t xml:space="preserve">c d | = ad - bc</w:t>
      </w:r>
    </w:p>
    <w:p>
      <w:pPr>
        <w:pStyle w:val="BodyText"/>
      </w:pPr>
      <w:r>
        <w:rPr>
          <w:b/>
          <w:bCs/>
        </w:rPr>
        <w:t xml:space="preserve">Матрица с многоточиями</w:t>
      </w:r>
      <w:r>
        <w:t xml:space="preserve">:</w:t>
      </w:r>
    </w:p>
    <w:p>
      <w:pPr>
        <w:pStyle w:val="BodyText"/>
      </w:pPr>
      <w:r>
        <w:t xml:space="preserve">⎛ a₁₁ a₁₂ ⋯ a₁ₙ ⎞</w:t>
      </w:r>
      <w:r>
        <w:t xml:space="preserve"> </w:t>
      </w:r>
      <w:r>
        <w:t xml:space="preserve">⎜ a₂₁ a₂₂ ⋯ a₂ₙ ⎟</w:t>
      </w:r>
      <w:r>
        <w:t xml:space="preserve"> </w:t>
      </w:r>
      <w:r>
        <w:t xml:space="preserve">⎜ ⋮ ⋮ ⋱ ⋮ ⎟</w:t>
      </w:r>
      <w:r>
        <w:t xml:space="preserve"> </w:t>
      </w:r>
      <w:r>
        <w:t xml:space="preserve">⎝ aₘ₁ aₘ₂ ⋯ aₘₙ ⎠</w:t>
      </w:r>
    </w:p>
    <w:bookmarkEnd w:id="17"/>
    <w:bookmarkStart w:id="18" w:name="различные-шрифты-в-математике"/>
    <w:p>
      <w:pPr>
        <w:pStyle w:val="Heading2"/>
      </w:pPr>
      <w:r>
        <w:t xml:space="preserve">7. Различные шрифты в математике</w:t>
      </w:r>
    </w:p>
    <w:p>
      <w:pPr>
        <w:pStyle w:val="FirstParagraph"/>
      </w:pPr>
      <w:r>
        <w:t xml:space="preserve">В математическом режиме доступны различные шрифты:</w:t>
      </w:r>
    </w:p>
    <w:p>
      <w:pPr>
        <w:pStyle w:val="Compact"/>
        <w:numPr>
          <w:ilvl w:val="0"/>
          <w:numId w:val="1007"/>
        </w:numPr>
      </w:pPr>
      <w:r>
        <w:t xml:space="preserve">Прямой шрифт: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123</m:t>
        </m:r>
      </m:oMath>
    </w:p>
    <w:p>
      <w:pPr>
        <w:pStyle w:val="Compact"/>
        <w:numPr>
          <w:ilvl w:val="0"/>
          <w:numId w:val="1007"/>
        </w:numPr>
      </w:pPr>
      <w:r>
        <w:t xml:space="preserve">Полужирный: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  <m:r>
          <m:rPr>
            <m:sty m:val="b"/>
          </m:rPr>
          <m:t>123</m:t>
        </m:r>
      </m:oMath>
    </w:p>
    <w:p>
      <w:pPr>
        <w:pStyle w:val="Compact"/>
        <w:numPr>
          <w:ilvl w:val="0"/>
          <w:numId w:val="1007"/>
        </w:numPr>
      </w:pPr>
      <w:r>
        <w:t xml:space="preserve">Курсивный:</w:t>
      </w:r>
      <w:r>
        <w:t xml:space="preserve"> </w:t>
      </w:r>
      <m:oMath>
        <m:r>
          <m:rPr>
            <m:sty m:val="i"/>
          </m:rPr>
          <m:t>A</m:t>
        </m:r>
        <m:r>
          <m:rPr>
            <m:sty m:val="i"/>
          </m:rPr>
          <m:t>B</m:t>
        </m:r>
        <m:r>
          <m:rPr>
            <m:sty m:val="i"/>
          </m:rPr>
          <m:t>C</m:t>
        </m:r>
        <m:r>
          <m:rPr>
            <m:sty m:val="i"/>
          </m:rPr>
          <m:t>a</m:t>
        </m:r>
        <m:r>
          <m:rPr>
            <m:sty m:val="i"/>
          </m:rPr>
          <m:t>b</m:t>
        </m:r>
        <m:r>
          <m:rPr>
            <m:sty m:val="i"/>
          </m:rPr>
          <m:t>c</m:t>
        </m:r>
        <m:r>
          <m:rPr>
            <m:sty m:val="i"/>
          </m:rPr>
          <m:t>123</m:t>
        </m:r>
      </m:oMath>
    </w:p>
    <w:p>
      <w:pPr>
        <w:pStyle w:val="Compact"/>
        <w:numPr>
          <w:ilvl w:val="0"/>
          <w:numId w:val="1007"/>
        </w:numPr>
      </w:pPr>
      <w:r>
        <w:t xml:space="preserve">Моноширинный: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123</m:t>
        </m:r>
      </m:oMath>
    </w:p>
    <w:p>
      <w:pPr>
        <w:pStyle w:val="Compact"/>
        <w:numPr>
          <w:ilvl w:val="0"/>
          <w:numId w:val="1007"/>
        </w:numPr>
      </w:pPr>
      <w:r>
        <w:t xml:space="preserve">Каллиграфический (только заглавные):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cr m:val="script"/>
            <m:sty m:val="p"/>
          </m:rPr>
          <m:t>B</m:t>
        </m:r>
        <m:r>
          <m:rPr>
            <m:scr m:val="script"/>
            <m:sty m:val="p"/>
          </m:rPr>
          <m:t>C</m:t>
        </m:r>
      </m:oMath>
    </w:p>
    <w:p>
      <w:pPr>
        <w:pStyle w:val="Compact"/>
        <w:numPr>
          <w:ilvl w:val="0"/>
          <w:numId w:val="1007"/>
        </w:numPr>
      </w:pPr>
      <w:r>
        <w:t xml:space="preserve">Готический (только заглавные):</w:t>
      </w:r>
      <w:r>
        <w:t xml:space="preserve"> </w:t>
      </w:r>
      <m:oMath>
        <m:r>
          <m:rPr>
            <m:scr m:val="fraktur"/>
            <m:sty m:val="p"/>
          </m:rPr>
          <m:t>A</m:t>
        </m:r>
        <m:r>
          <m:rPr>
            <m:scr m:val="fraktur"/>
            <m:sty m:val="p"/>
          </m:rPr>
          <m:t>B</m:t>
        </m:r>
        <m:r>
          <m:rPr>
            <m:scr m:val="fraktur"/>
            <m:sty m:val="p"/>
          </m:rPr>
          <m:t>C</m:t>
        </m:r>
        <m:r>
          <m:rPr>
            <m:scr m:val="fraktur"/>
            <m:sty m:val="p"/>
          </m:rPr>
          <m:t>a</m:t>
        </m:r>
        <m:r>
          <m:rPr>
            <m:scr m:val="fraktur"/>
            <m:sty m:val="p"/>
          </m:rPr>
          <m:t>b</m:t>
        </m:r>
        <m:r>
          <m:rPr>
            <m:scr m:val="fraktur"/>
            <m:sty m:val="p"/>
          </m:rPr>
          <m:t>c</m:t>
        </m:r>
        <m:r>
          <m:rPr>
            <m:scr m:val="fraktur"/>
            <m:sty m:val="p"/>
          </m:rPr>
          <m:t>123</m:t>
        </m:r>
      </m:oMath>
    </w:p>
    <w:p>
      <w:pPr>
        <w:pStyle w:val="Compact"/>
        <w:numPr>
          <w:ilvl w:val="0"/>
          <w:numId w:val="1007"/>
        </w:numPr>
      </w:pPr>
      <w:r>
        <w:t xml:space="preserve">Двойной (только заглавные):</w:t>
      </w:r>
      <w:r>
        <w:t xml:space="preserve"> </w:t>
      </w:r>
      <m:oMath>
        <m:r>
          <m:rPr>
            <m:scr m:val="double-struck"/>
            <m:sty m:val="p"/>
          </m:rPr>
          <m:t>A</m:t>
        </m:r>
        <m:r>
          <m:rPr>
            <m:scr m:val="double-struck"/>
            <m:sty m:val="p"/>
          </m:rPr>
          <m:t>B</m:t>
        </m:r>
        <m:r>
          <m:rPr>
            <m:scr m:val="double-struck"/>
            <m:sty m:val="p"/>
          </m:rPr>
          <m:t>C</m:t>
        </m:r>
      </m:oMath>
    </w:p>
    <w:p>
      <w:pPr>
        <w:pStyle w:val="FirstParagraph"/>
      </w:pPr>
      <w:r>
        <w:t xml:space="preserve">Примеры использования: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t</m:t>
                  </m:r>
                </m:sup>
              </m:sSup>
            </m:e>
          </m:nary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rPr>
              <m:scr m:val="double-struck"/>
              <m:sty m:val="p"/>
            </m:rPr>
            <m:t>Z</m:t>
          </m:r>
          <m:r>
            <m:rPr>
              <m:sty m:val="p"/>
            </m:rPr>
            <m:t>,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,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,</m:t>
          </m:r>
          <m:r>
            <m:rPr>
              <m:scr m:val="double-struck"/>
              <m:sty m:val="p"/>
            </m:rPr>
            <m:t>C</m:t>
          </m:r>
        </m:oMath>
      </m:oMathPara>
    </w:p>
    <w:bookmarkEnd w:id="18"/>
    <w:bookmarkEnd w:id="19"/>
    <w:bookmarkStart w:id="2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возможности LaTeX для математического набора: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Inline и display режимы</w:t>
      </w:r>
      <w:r>
        <w:t xml:space="preserve"> </w:t>
      </w:r>
      <w:r>
        <w:t xml:space="preserve">— для вставки формул внутри текста и в отдельные строки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Индексы и степени</w:t>
      </w:r>
      <w:r>
        <w:t xml:space="preserve"> </w:t>
      </w:r>
      <w:r>
        <w:t xml:space="preserve">— с помощью символов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^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Греческие буквы</w:t>
      </w:r>
      <w:r>
        <w:t xml:space="preserve"> </w:t>
      </w:r>
      <w:r>
        <w:t xml:space="preserve">— команды вида</w:t>
      </w:r>
      <w:r>
        <w:t xml:space="preserve"> </w:t>
      </w:r>
      <w:r>
        <w:rPr>
          <w:rStyle w:val="VerbatimChar"/>
        </w:rPr>
        <w:t xml:space="preserve">\alpha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\beta</w:t>
      </w:r>
      <w:r>
        <w:t xml:space="preserve">, и т.д.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Математические функции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$\sin$</w:t>
      </w:r>
      <w:r>
        <w:t xml:space="preserve">,</w:t>
      </w:r>
      <w:r>
        <w:t xml:space="preserve"> </w:t>
      </w:r>
      <w:r>
        <w:rPr>
          <w:rStyle w:val="VerbatimChar"/>
        </w:rPr>
        <w:t xml:space="preserve">$\cos$</w:t>
      </w:r>
      <w:r>
        <w:t xml:space="preserve">,</w:t>
      </w:r>
      <w:r>
        <w:t xml:space="preserve"> </w:t>
      </w:r>
      <w:r>
        <w:rPr>
          <w:rStyle w:val="VerbatimChar"/>
        </w:rPr>
        <w:t xml:space="preserve">$\log$</w:t>
      </w:r>
      <w:r>
        <w:t xml:space="preserve"> </w:t>
      </w:r>
      <w:r>
        <w:t xml:space="preserve">и другие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Интегралы и суммы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$\int$</w:t>
      </w:r>
      <w:r>
        <w:t xml:space="preserve">,</w:t>
      </w:r>
      <w:r>
        <w:t xml:space="preserve"> </w:t>
      </w:r>
      <w:r>
        <w:rPr>
          <w:rStyle w:val="VerbatimChar"/>
        </w:rPr>
        <w:t xml:space="preserve">$\sum$</w:t>
      </w:r>
      <w:r>
        <w:t xml:space="preserve">,</w:t>
      </w:r>
      <w:r>
        <w:t xml:space="preserve"> </w:t>
      </w:r>
      <w:r>
        <w:rPr>
          <w:rStyle w:val="VerbatimChar"/>
        </w:rPr>
        <w:t xml:space="preserve">$\prod$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Многострочные формулы</w:t>
      </w:r>
      <w:r>
        <w:t xml:space="preserve"> </w:t>
      </w:r>
      <w:r>
        <w:t xml:space="preserve">— окружение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из пакета amsmath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Матрицы</w:t>
      </w:r>
      <w:r>
        <w:t xml:space="preserve"> </w:t>
      </w:r>
      <w:r>
        <w:t xml:space="preserve">— окружения</w:t>
      </w:r>
      <w:r>
        <w:t xml:space="preserve"> </w:t>
      </w:r>
      <w:r>
        <w:rPr>
          <w:rStyle w:val="VerbatimChar"/>
        </w:rPr>
        <w:t xml:space="preserve">pmatrix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bmatrix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vmatrix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Различные шрифты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$\mathrm$</w:t>
      </w:r>
      <w:r>
        <w:t xml:space="preserve">,</w:t>
      </w:r>
      <w:r>
        <w:t xml:space="preserve"> </w:t>
      </w:r>
      <w:r>
        <w:rPr>
          <w:rStyle w:val="VerbatimChar"/>
        </w:rPr>
        <w:t xml:space="preserve">$\mathbf$</w:t>
      </w:r>
      <w:r>
        <w:t xml:space="preserve">,</w:t>
      </w:r>
      <w:r>
        <w:t xml:space="preserve"> </w:t>
      </w:r>
      <w:r>
        <w:rPr>
          <w:rStyle w:val="VerbatimChar"/>
        </w:rPr>
        <w:t xml:space="preserve">$\mathit$</w:t>
      </w:r>
      <w:r>
        <w:t xml:space="preserve">,</w:t>
      </w:r>
      <w:r>
        <w:t xml:space="preserve"> </w:t>
      </w:r>
      <w:r>
        <w:rPr>
          <w:rStyle w:val="VerbatimChar"/>
        </w:rPr>
        <w:t xml:space="preserve">$\mathbb$</w:t>
      </w:r>
      <w:r>
        <w:t xml:space="preserve">,</w:t>
      </w:r>
      <w:r>
        <w:t xml:space="preserve"> </w:t>
      </w:r>
      <w:r>
        <w:rPr>
          <w:rStyle w:val="VerbatimChar"/>
        </w:rPr>
        <w:t xml:space="preserve">$\mathcal$</w:t>
      </w:r>
    </w:p>
    <w:p>
      <w:pPr>
        <w:pStyle w:val="FirstParagraph"/>
      </w:pPr>
      <w:r>
        <w:t xml:space="preserve">Полученные навыки позволяют создавать профессионально оформленные математические документы любой сложности.</w:t>
      </w:r>
      <w:r>
        <w:t xml:space="preserve"> </w:t>
      </w:r>
      <w:r>
        <w:t xml:space="preserve"># Список литературы</w:t>
      </w:r>
      <w:r>
        <w:t xml:space="preserve"> </w:t>
      </w:r>
      <w:r>
        <w:t xml:space="preserve">Кулябов Д. С., Королькова А. В., Геворкян М. Н. Practical scientific writing. — 2024.</w:t>
      </w:r>
    </w:p>
    <w:p>
      <w:pPr>
        <w:pStyle w:val="BodyText"/>
      </w:pPr>
      <w:r>
        <w:t xml:space="preserve">LaTeX documentation: https://www.latex-project.org/help/documentation/</w:t>
      </w:r>
    </w:p>
    <w:p>
      <w:pPr>
        <w:pStyle w:val="BodyText"/>
      </w:pPr>
      <w:r>
        <w:t xml:space="preserve">AMS Math documentation: https://www.ams.org/publications/authors/tex/amslatex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Надиа Эззакат</dc:creator>
  <dc:language>ru-RU</dc:language>
  <cp:keywords/>
  <dcterms:created xsi:type="dcterms:W3CDTF">2026-03-17T19:42:01Z</dcterms:created>
  <dcterms:modified xsi:type="dcterms:W3CDTF">2026-03-17T19:42:01Z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Математический набор в LaTeX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