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a2b5e"/>
          <w:sz w:val="56"/>
          <w:szCs w:val="56"/>
        </w:rPr>
        <w:t xml:space="preserve">HR Engagement Dashboard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a86a8"/>
          <w:sz w:val="32"/>
          <w:szCs w:val="32"/>
        </w:rPr>
        <w:t xml:space="preserve">Analytical Insights &amp; Key Findings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7a86a8"/>
          <w:sz w:val="22"/>
          <w:szCs w:val="22"/>
        </w:rPr>
        <w:t xml:space="preserve">Dataset: HR Engagement Sat Sales  |  15,000 Employees  |  2026</w:t>
      </w: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2b5e"/>
          <w:sz w:val="36"/>
          <w:szCs w:val="36"/>
        </w:rPr>
        <w:t xml:space="preserve">📊 Page 1: Executive Overview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high-level snapshot of the organization's workforce health and key performance indicators.</w:t>
      </w:r>
    </w:p>
    <w:p>
      <w:pPr>
        <w:shd w:fill="1a2b5e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🔍 Key Findings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🔴  </w:t>
      </w:r>
      <w:r>
        <w:rPr>
          <w:rFonts w:ascii="Calibri" w:cs="Calibri" w:eastAsia="Calibri" w:hAnsi="Calibri"/>
          <w:color w:val="e04040"/>
          <w:sz w:val="22"/>
          <w:szCs w:val="22"/>
        </w:rPr>
        <w:t xml:space="preserve">The company has a 24% attrition rate — nearly 1 in 4 employees has left the organization. This is significantly above the industry average of 15-18% and signals an urgent retention challenge.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💛  </w:t>
      </w:r>
      <w:r>
        <w:rPr>
          <w:rFonts w:ascii="Calibri" w:cs="Calibri" w:eastAsia="Calibri" w:hAnsi="Calibri"/>
          <w:color w:val="f59e0b"/>
          <w:sz w:val="22"/>
          <w:szCs w:val="22"/>
        </w:rPr>
        <w:t xml:space="preserve">The Medium salary band is the largest group (43% of workforce, ~6,400 employees). If compensation isn't competitive within this band, it represents the highest retention risk cluster.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0ea47a"/>
          <w:sz w:val="22"/>
          <w:szCs w:val="22"/>
        </w:rPr>
        <w:t xml:space="preserve">Gender distribution is nearly balanced at 51% Male and 49% Female, indicating a healthy and diverse workforce across all departments.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🌍  </w:t>
      </w:r>
      <w:r>
        <w:rPr>
          <w:rFonts w:ascii="Calibri" w:cs="Calibri" w:eastAsia="Calibri" w:hAnsi="Calibri"/>
          <w:color w:val="1a2b5e"/>
          <w:sz w:val="22"/>
          <w:szCs w:val="22"/>
        </w:rPr>
        <w:t xml:space="preserve">The UK leads all regions in headcount (~2,000 employees), followed by France and Korea. This geographic concentration may create dependency risk.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e04040"/>
          <w:sz w:val="22"/>
          <w:szCs w:val="22"/>
        </w:rPr>
        <w:t xml:space="preserve">Operations department shows the highest attrition rate, while Warehouse shows the lowest — suggesting that field/operational roles are harder to retain than logistical ones.</w:t>
      </w:r>
    </w:p>
    <w:p>
      <w:pPr>
        <w:shd w:fill="0ea47a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💡 Recommendations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Conduct immediate exit interviews and salary benchmarking for Operations and Sales departments.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Review compensation competitiveness for Medium salary band employees.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Develop region-specific retention strategies for UK and France offices.</w:t>
      </w:r>
    </w:p>
    <w:p>
      <w:pPr>
        <w:spacing w:after="100" w:before="100"/>
      </w:pP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2b5e"/>
          <w:sz w:val="36"/>
          <w:szCs w:val="36"/>
        </w:rPr>
        <w:t xml:space="preserve">🎯 Page 2: Talent &amp; Retention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Identifying high-risk employees and protecting star talent before it's too late.</w:t>
      </w:r>
    </w:p>
    <w:p>
      <w:pPr>
        <w:shd w:fill="1a2b5e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🔍 Key Findings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🔴  </w:t>
      </w:r>
      <w:r>
        <w:rPr>
          <w:rFonts w:ascii="Calibri" w:cs="Calibri" w:eastAsia="Calibri" w:hAnsi="Calibri"/>
          <w:color w:val="e04040"/>
          <w:sz w:val="22"/>
          <w:szCs w:val="22"/>
        </w:rPr>
        <w:t xml:space="preserve">4,742 employees (31.6% of the workforce) are classified as High Risk for attrition. This is a critical mass — losing this segment would severely impact organizational continuity.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⭐  </w:t>
      </w:r>
      <w:r>
        <w:rPr>
          <w:rFonts w:ascii="Calibri" w:cs="Calibri" w:eastAsia="Calibri" w:hAnsi="Calibri"/>
          <w:color w:val="0ea47a"/>
          <w:sz w:val="22"/>
          <w:szCs w:val="22"/>
        </w:rPr>
        <w:t xml:space="preserve">3,998 Star Employees show both high performance (last_evaluation ≥ 0.80) and high engagement (Avg Engagement ≥ 3.5). These are the employees that must be prioritized in retention programs.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💼  </w:t>
      </w:r>
      <w:r>
        <w:rPr>
          <w:rFonts w:ascii="Calibri" w:cs="Calibri" w:eastAsia="Calibri" w:hAnsi="Calibri"/>
          <w:color w:val="1a2b5e"/>
          <w:sz w:val="22"/>
          <w:szCs w:val="22"/>
        </w:rPr>
        <w:t xml:space="preserve">The largest employee category is Solid Employees (7,400+, ~49%), forming the backbone of the organization. Keeping them engaged is critical to operational stability.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🔗  </w:t>
      </w:r>
      <w:r>
        <w:rPr>
          <w:rFonts w:ascii="Calibri" w:cs="Calibri" w:eastAsia="Calibri" w:hAnsi="Calibri"/>
          <w:color w:val="f59e0b"/>
          <w:sz w:val="22"/>
          <w:szCs w:val="22"/>
        </w:rPr>
        <w:t xml:space="preserve">Average LinkedIn activity of 19 hits/month across high-risk employees suggests active job searching. Employees with 45+ hits should be flagged for immediate manager check-ins.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📉  </w:t>
      </w:r>
      <w:r>
        <w:rPr>
          <w:rFonts w:ascii="Calibri" w:cs="Calibri" w:eastAsia="Calibri" w:hAnsi="Calibri"/>
          <w:color w:val="e04040"/>
          <w:sz w:val="22"/>
          <w:szCs w:val="22"/>
        </w:rPr>
        <w:t xml:space="preserve">The Scatter Plot reveals a clear pattern: employees with low performance (&lt; 0.60) AND low engagement (&lt; 3.0) cluster in the High Risk category — validating our attrition model.</w:t>
      </w:r>
    </w:p>
    <w:p>
      <w:pPr>
        <w:shd w:fill="0ea47a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💡 Recommendations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Implement immediate retention bonuses or career development plans for Star Employees.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Launch manager check-in programs for all High Risk employees with LinkedIn Hits &gt; 45.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Create engagement programs targeting Needs Attention employees before they become High Risk.</w:t>
      </w:r>
    </w:p>
    <w:p>
      <w:pPr>
        <w:spacing w:after="100" w:before="100"/>
      </w:pP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2b5e"/>
          <w:sz w:val="36"/>
          <w:szCs w:val="36"/>
        </w:rPr>
        <w:t xml:space="preserve">💚 Page 3: Employee Wellbeing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Understanding the physical and psychological health of the workforce through sensor and survey data.</w:t>
      </w:r>
    </w:p>
    <w:p>
      <w:pPr>
        <w:shd w:fill="1a2b5e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🔍 Key Findings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❤️  </w:t>
      </w:r>
      <w:r>
        <w:rPr>
          <w:rFonts w:ascii="Calibri" w:cs="Calibri" w:eastAsia="Calibri" w:hAnsi="Calibri"/>
          <w:color w:val="f59e0b"/>
          <w:sz w:val="22"/>
          <w:szCs w:val="22"/>
        </w:rPr>
        <w:t xml:space="preserve">Average heart rate across all departments is 78 bpm — within the healthy range of 60-100 bpm. However, Finance department shows slightly elevated readings, possibly indicating higher stress levels.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e04040"/>
          <w:sz w:val="22"/>
          <w:szCs w:val="22"/>
        </w:rPr>
        <w:t xml:space="preserve">14.46% of employees (2,170) have experienced a work accident. Employees with accidents show significantly higher attrition risk, creating a compounding organizational problem.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📡  </w:t>
      </w:r>
      <w:r>
        <w:rPr>
          <w:rFonts w:ascii="Calibri" w:cs="Calibri" w:eastAsia="Calibri" w:hAnsi="Calibri"/>
          <w:color w:val="f59e0b"/>
          <w:sz w:val="22"/>
          <w:szCs w:val="22"/>
        </w:rPr>
        <w:t xml:space="preserve">Average proximity score of 6.4 (on a scale of 1-10, where 1=closest) suggests employees are moderately isolated from their colleagues. Higher isolation correlates with lower engagement scores.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📈  </w:t>
      </w:r>
      <w:r>
        <w:rPr>
          <w:rFonts w:ascii="Calibri" w:cs="Calibri" w:eastAsia="Calibri" w:hAnsi="Calibri"/>
          <w:color w:val="0ea47a"/>
          <w:sz w:val="22"/>
          <w:szCs w:val="22"/>
        </w:rPr>
        <w:t xml:space="preserve">The Wellbeing vs Performance scatter reveals a positive correlation — employees with higher performance scores (0.80-1.0) consistently show better wellbeing outcomes, suggesting performance and health reinforce each other.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🏭  </w:t>
      </w:r>
      <w:r>
        <w:rPr>
          <w:rFonts w:ascii="Calibri" w:cs="Calibri" w:eastAsia="Calibri" w:hAnsi="Calibri"/>
          <w:color w:val="1a2b5e"/>
          <w:sz w:val="22"/>
          <w:szCs w:val="22"/>
        </w:rPr>
        <w:t xml:space="preserve">Warehouse department shows the lowest proximity scores (highest isolation at 6.424), while Finance shows the highest physical closeness — this may reflect the nature of their work environments.</w:t>
      </w:r>
    </w:p>
    <w:p>
      <w:pPr>
        <w:shd w:fill="0ea47a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💡 Recommendations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Implement workplace safety programs in departments with high accident rates.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Introduce team-building activities to improve proximity scores and reduce isolation.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Consider mental health support programs, particularly for Finance employees showing elevated heart rates.</w:t>
      </w:r>
    </w:p>
    <w:p>
      <w:pPr>
        <w:spacing w:after="100" w:before="100"/>
      </w:pP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2b5e"/>
          <w:sz w:val="36"/>
          <w:szCs w:val="36"/>
        </w:rPr>
        <w:t xml:space="preserve">🖥️ Page 4: Remote vs On-Premise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Comparing satisfaction, performance, and leave patterns between remote and on-site employees.</w:t>
      </w:r>
    </w:p>
    <w:p>
      <w:pPr>
        <w:shd w:fill="1a2b5e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🔍 Key Findings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 </w:t>
      </w:r>
      <w:r>
        <w:rPr>
          <w:rFonts w:ascii="Calibri" w:cs="Calibri" w:eastAsia="Calibri" w:hAnsi="Calibri"/>
          <w:color w:val="0ea47a"/>
          <w:sz w:val="22"/>
          <w:szCs w:val="22"/>
        </w:rPr>
        <w:t xml:space="preserve">Surprisingly, Remote employees score higher satisfaction (4.0) compared to On-Premise employees (3.0) — suggesting that remote work flexibility positively impacts employee experience.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🏆  </w:t>
      </w:r>
      <w:r>
        <w:rPr>
          <w:rFonts w:ascii="Calibri" w:cs="Calibri" w:eastAsia="Calibri" w:hAnsi="Calibri"/>
          <w:color w:val="0ea47a"/>
          <w:sz w:val="22"/>
          <w:szCs w:val="22"/>
        </w:rPr>
        <w:t xml:space="preserve">Full Remote employees (Percent_Remote = 1.0) show the highest performance scores across all work types, challenging the assumption that in-office work drives better productivity.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👩  </w:t>
      </w:r>
      <w:r>
        <w:rPr>
          <w:rFonts w:ascii="Calibri" w:cs="Calibri" w:eastAsia="Calibri" w:hAnsi="Calibri"/>
          <w:color w:val="f59e0b"/>
          <w:sz w:val="22"/>
          <w:szCs w:val="22"/>
        </w:rPr>
        <w:t xml:space="preserve">Women working remotely take significantly more leave than their on-premise counterparts (~3.9K vs ~1.1K occurrences), suggesting remote work enables better work-life balance for female employees.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💼  </w:t>
      </w:r>
      <w:r>
        <w:rPr>
          <w:rFonts w:ascii="Calibri" w:cs="Calibri" w:eastAsia="Calibri" w:hAnsi="Calibri"/>
          <w:color w:val="1a2b5e"/>
          <w:sz w:val="22"/>
          <w:szCs w:val="22"/>
        </w:rPr>
        <w:t xml:space="preserve">The largest workforce segment is Full Remote (52.36%, ~7,850 employees), followed by mostly On-Premise (40.15%, ~6,020). Only 7.41% are in a hybrid arrangement.</w:t>
      </w:r>
    </w:p>
    <w:p>
      <w:pPr>
        <w:spacing w:after="120" w:before="120"/>
        <w:ind w:left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🏢  </w:t>
      </w:r>
      <w:r>
        <w:rPr>
          <w:rFonts w:ascii="Calibri" w:cs="Calibri" w:eastAsia="Calibri" w:hAnsi="Calibri"/>
          <w:color w:val="e04040"/>
          <w:sz w:val="22"/>
          <w:szCs w:val="22"/>
        </w:rPr>
        <w:t xml:space="preserve">Sales department shows the lowest satisfaction scores across all work types — both remote and on-premise Sales employees struggle with engagement, pointing to role-specific rather than location-specific issues.</w:t>
      </w:r>
    </w:p>
    <w:p>
      <w:pPr>
        <w:shd w:fill="0ea47a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💡 Recommendations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Expand remote work options as data shows higher satisfaction and performance for remote employees.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Investigate Sales department specifically — low satisfaction is independent of work location.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Review leave policies for remote female employees to ensure equity across work arrangements.</w:t>
      </w:r>
    </w:p>
    <w:p>
      <w:pPr>
        <w:spacing w:after="80" w:before="80"/>
        <w:ind w:left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Consider increasing hybrid arrangements (currently only 7.41%) as a middle-ground solution.</w:t>
      </w:r>
    </w:p>
    <w:p>
      <w:pPr>
        <w:spacing w:after="100" w:before="100"/>
      </w:pP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a2b5e"/>
          <w:sz w:val="36"/>
          <w:szCs w:val="36"/>
        </w:rPr>
        <w:t xml:space="preserve">📋 Executive Summary</w:t>
      </w:r>
    </w:p>
    <w:p>
      <w:pPr>
        <w:shd w:fill="e04040" w:val="clear"/>
        <w:spacing w:after="2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Top 5 Organizational Priorities</w:t>
      </w:r>
    </w:p>
    <w:p>
      <w:pPr>
        <w:spacing w:after="100" w:before="150"/>
        <w:ind w:left="300"/>
      </w:pPr>
      <w:r>
        <w:rPr>
          <w:rFonts w:ascii="Calibri" w:cs="Calibri" w:eastAsia="Calibri" w:hAnsi="Calibri"/>
          <w:b/>
          <w:bCs/>
          <w:color w:val="e04040"/>
          <w:sz w:val="24"/>
          <w:szCs w:val="24"/>
        </w:rPr>
        <w:t xml:space="preserve">1.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URGENT: Address 24% attrition rate — especially in Operations and Sales departments.</w:t>
      </w:r>
    </w:p>
    <w:p>
      <w:pP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e04040"/>
          <w:sz w:val="24"/>
          <w:szCs w:val="24"/>
        </w:rPr>
        <w:t xml:space="preserve">2.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PROTECT: 3,998 Star Employees must be retained through targeted compensation and development programs.</w:t>
      </w:r>
    </w:p>
    <w:p>
      <w:pP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3.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MONITOR: 4,742 High Risk employees need immediate manager intervention before they leave.</w:t>
      </w:r>
    </w:p>
    <w:p>
      <w:pP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0ea47a"/>
          <w:sz w:val="24"/>
          <w:szCs w:val="24"/>
        </w:rPr>
        <w:t xml:space="preserve">4.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EXPAND: Remote work shows higher satisfaction and performance — consider policy expansion.</w:t>
      </w:r>
    </w:p>
    <w:p>
      <w:pPr>
        <w:spacing w:after="200" w:before="100"/>
        <w:ind w:left="300"/>
      </w:pPr>
      <w:r>
        <w:rPr>
          <w:rFonts w:ascii="Calibri" w:cs="Calibri" w:eastAsia="Calibri" w:hAnsi="Calibri"/>
          <w:b/>
          <w:bCs/>
          <w:color w:val="1a2b5e"/>
          <w:sz w:val="24"/>
          <w:szCs w:val="24"/>
        </w:rPr>
        <w:t xml:space="preserve">5.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 SAFETY: Reduce work accidents (14.46%) through targeted safety programs in Warehouse and Operations.</w:t>
      </w:r>
    </w:p>
    <w:p>
      <w:pPr>
        <w:spacing w:after="100" w:before="100"/>
      </w:pPr>
    </w:p>
    <w:p>
      <w:pP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7a86a8"/>
          <w:sz w:val="18"/>
          <w:szCs w:val="18"/>
        </w:rPr>
        <w:t xml:space="preserve">Report prepared by: Nadia  |  Tool: Microsoft Power BI  |  Dataset: HR Engagement Sat Sales (15,000 rows)  |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2026-07-05T17:40:46.223Z</dcterms:created>
  <dcterms:modified xsi:type="dcterms:W3CDTF">2026-07-05T17:40:46.223Z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