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200" w:before="400"/>
        <w:jc w:val="center"/>
      </w:pPr>
      <w:r>
        <w:rPr>
          <w:rFonts w:ascii="Times New Roman" w:cs="Times New Roman" w:eastAsia="Times New Roman" w:hAnsi="Times New Roman"/>
          <w:b/>
          <w:bCs/>
          <w:sz w:val="52"/>
          <w:szCs w:val="52"/>
        </w:rPr>
        <w:t xml:space="preserve">HR Engagement Analytics</w:t>
      </w:r>
    </w:p>
    <w:p>
      <w:pPr>
        <w:spacing w:after="200" w:before="400"/>
        <w:jc w:val="center"/>
      </w:pPr>
      <w:r>
        <w:rPr>
          <w:rFonts w:ascii="Times New Roman" w:cs="Times New Roman" w:eastAsia="Times New Roman" w:hAnsi="Times New Roman"/>
          <w:b/>
          <w:bCs/>
          <w:sz w:val="52"/>
          <w:szCs w:val="52"/>
        </w:rPr>
        <w:t xml:space="preserve">Dashboard Report</w:t>
      </w:r>
    </w:p>
    <w:p>
      <w:pPr>
        <w:spacing w:after="120" w:before="120"/>
      </w:pPr>
    </w:p>
    <w:p>
      <w:pPr>
        <w:spacing w:after="100" w:before="100"/>
        <w:jc w:val="center"/>
      </w:pPr>
      <w:r>
        <w:rPr>
          <w:rFonts w:ascii="Times New Roman" w:cs="Times New Roman" w:eastAsia="Times New Roman" w:hAnsi="Times New Roman"/>
          <w:sz w:val="24"/>
          <w:szCs w:val="24"/>
        </w:rPr>
        <w:t xml:space="preserve">─────────────────────────────────────────</w:t>
      </w:r>
    </w:p>
    <w:p>
      <w:pPr>
        <w:spacing w:after="120" w:before="120"/>
      </w:pPr>
    </w:p>
    <w:p>
      <w:pPr>
        <w:spacing w:after="80" w:before="80"/>
        <w:jc w:val="center"/>
      </w:pPr>
      <w:r>
        <w:rPr>
          <w:rFonts w:ascii="Times New Roman" w:cs="Times New Roman" w:eastAsia="Times New Roman" w:hAnsi="Times New Roman"/>
          <w:i/>
          <w:iCs/>
          <w:sz w:val="26"/>
          <w:szCs w:val="26"/>
        </w:rPr>
        <w:t xml:space="preserve">A Comprehensive Report on Employee Engagement,</w:t>
      </w:r>
    </w:p>
    <w:p>
      <w:pPr>
        <w:spacing w:after="80" w:before="80"/>
        <w:jc w:val="center"/>
      </w:pPr>
      <w:r>
        <w:rPr>
          <w:rFonts w:ascii="Times New Roman" w:cs="Times New Roman" w:eastAsia="Times New Roman" w:hAnsi="Times New Roman"/>
          <w:i/>
          <w:iCs/>
          <w:sz w:val="26"/>
          <w:szCs w:val="26"/>
        </w:rPr>
        <w:t xml:space="preserve">Retention Risk, Wellbeing, and Remote Work Patterns</w:t>
      </w:r>
    </w:p>
    <w:p>
      <w:pPr>
        <w:spacing w:after="120" w:before="120"/>
      </w:pPr>
    </w:p>
    <w:p>
      <w:pPr>
        <w:spacing w:after="120" w:before="120"/>
      </w:pPr>
    </w:p>
    <w:p>
      <w:pPr>
        <w:spacing w:after="60" w:before="60"/>
        <w:jc w:val="center"/>
      </w:pPr>
      <w:r>
        <w:rPr>
          <w:rFonts w:ascii="Times New Roman" w:cs="Times New Roman" w:eastAsia="Times New Roman" w:hAnsi="Times New Roman"/>
          <w:sz w:val="22"/>
          <w:szCs w:val="22"/>
        </w:rPr>
        <w:t xml:space="preserve">Dataset: HR Engagement Sat Sales</w:t>
      </w:r>
    </w:p>
    <w:p>
      <w:pPr>
        <w:spacing w:after="60" w:before="60"/>
        <w:jc w:val="center"/>
      </w:pPr>
      <w:r>
        <w:rPr>
          <w:rFonts w:ascii="Times New Roman" w:cs="Times New Roman" w:eastAsia="Times New Roman" w:hAnsi="Times New Roman"/>
          <w:sz w:val="22"/>
          <w:szCs w:val="22"/>
        </w:rPr>
        <w:t xml:space="preserve">Total Records: 15,000 Employees</w:t>
      </w:r>
    </w:p>
    <w:p>
      <w:pPr>
        <w:spacing w:after="60" w:before="60"/>
        <w:jc w:val="center"/>
      </w:pPr>
      <w:r>
        <w:rPr>
          <w:rFonts w:ascii="Times New Roman" w:cs="Times New Roman" w:eastAsia="Times New Roman" w:hAnsi="Times New Roman"/>
          <w:sz w:val="22"/>
          <w:szCs w:val="22"/>
        </w:rPr>
        <w:t xml:space="preserve">Tool: Microsoft Power BI</w:t>
      </w:r>
    </w:p>
    <w:p>
      <w:pPr>
        <w:spacing w:after="60" w:before="60"/>
        <w:jc w:val="center"/>
      </w:pPr>
      <w:r>
        <w:rPr>
          <w:rFonts w:ascii="Times New Roman" w:cs="Times New Roman" w:eastAsia="Times New Roman" w:hAnsi="Times New Roman"/>
          <w:sz w:val="22"/>
          <w:szCs w:val="22"/>
        </w:rPr>
        <w:t xml:space="preserve">Analyst: Nadia</w:t>
      </w:r>
    </w:p>
    <w:p>
      <w:pPr>
        <w:spacing w:after="60" w:before="60"/>
        <w:jc w:val="center"/>
      </w:pPr>
      <w:r>
        <w:rPr>
          <w:rFonts w:ascii="Times New Roman" w:cs="Times New Roman" w:eastAsia="Times New Roman" w:hAnsi="Times New Roman"/>
          <w:sz w:val="22"/>
          <w:szCs w:val="22"/>
        </w:rPr>
        <w:t xml:space="preserve">Date: July 2026</w:t>
      </w:r>
    </w:p>
    <w:p>
      <w:pPr>
        <w:spacing w:after="120" w:before="120"/>
      </w:pPr>
    </w:p>
    <w:p>
      <w:pPr>
        <w:spacing w:after="120" w:before="120"/>
      </w:pPr>
    </w:p>
    <w:p>
      <w:pPr>
        <w:spacing w:after="120" w:before="120"/>
      </w:pPr>
    </w:p>
    <w:p>
      <w:pPr>
        <w:spacing w:after="120" w:before="120"/>
      </w:pPr>
    </w:p>
    <w:p>
      <w:pPr>
        <w:spacing w:after="120" w:before="120"/>
      </w:pPr>
    </w:p>
    <w:p>
      <w:r>
        <w:br w:type="page"/>
      </w:r>
    </w:p>
    <w:p>
      <w:pPr>
        <w:pStyle w:val="Heading1"/>
        <w:pBdr>
          <w:bottom w:val="single" w:color="000000" w:sz="6"/>
        </w:pBdr>
        <w:spacing w:after="200" w:before="500"/>
      </w:pPr>
      <w:r>
        <w:rPr>
          <w:rFonts w:ascii="Times New Roman" w:cs="Times New Roman" w:eastAsia="Times New Roman" w:hAnsi="Times New Roman"/>
          <w:b/>
          <w:bCs/>
          <w:caps/>
          <w:sz w:val="36"/>
          <w:szCs w:val="36"/>
        </w:rPr>
        <w:t xml:space="preserve">Table of Contents</w:t>
      </w:r>
    </w:p>
    <w:p>
      <w:pPr>
        <w:spacing w:after="120" w:before="120"/>
      </w:pPr>
    </w:p>
    <w:p>
      <w:pPr>
        <w:spacing w:after="140" w:before="140"/>
        <w:ind w:left="400"/>
      </w:pPr>
      <w:r>
        <w:rPr>
          <w:rFonts w:ascii="Times New Roman" w:cs="Times New Roman" w:eastAsia="Times New Roman" w:hAnsi="Times New Roman"/>
          <w:b/>
          <w:bCs/>
          <w:sz w:val="24"/>
          <w:szCs w:val="24"/>
        </w:rPr>
        <w:t xml:space="preserve">I.  </w:t>
      </w:r>
      <w:r>
        <w:rPr>
          <w:rFonts w:ascii="Times New Roman" w:cs="Times New Roman" w:eastAsia="Times New Roman" w:hAnsi="Times New Roman"/>
          <w:sz w:val="24"/>
          <w:szCs w:val="24"/>
        </w:rPr>
        <w:t xml:space="preserve">Introduction and Project Background</w:t>
      </w:r>
    </w:p>
    <w:p>
      <w:pPr>
        <w:spacing w:after="140" w:before="140"/>
        <w:ind w:left="400"/>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sz w:val="24"/>
          <w:szCs w:val="24"/>
        </w:rPr>
        <w:t xml:space="preserve">Dataset Description and Structure</w:t>
      </w:r>
    </w:p>
    <w:p>
      <w:pPr>
        <w:spacing w:after="140" w:before="140"/>
        <w:ind w:left="400"/>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sz w:val="24"/>
          <w:szCs w:val="24"/>
        </w:rPr>
        <w:t xml:space="preserve">Data Preparation and Methodology</w:t>
      </w:r>
    </w:p>
    <w:p>
      <w:pPr>
        <w:spacing w:after="140" w:before="140"/>
        <w:ind w:left="400"/>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sz w:val="24"/>
          <w:szCs w:val="24"/>
        </w:rPr>
        <w:t xml:space="preserve">Dashboard Architecture</w:t>
      </w:r>
    </w:p>
    <w:p>
      <w:pPr>
        <w:spacing w:after="140" w:before="140"/>
        <w:ind w:left="400"/>
      </w:pPr>
      <w:r>
        <w:rPr>
          <w:rFonts w:ascii="Times New Roman" w:cs="Times New Roman" w:eastAsia="Times New Roman" w:hAnsi="Times New Roman"/>
          <w:b/>
          <w:bCs/>
          <w:sz w:val="24"/>
          <w:szCs w:val="24"/>
        </w:rPr>
        <w:t xml:space="preserve">V.  </w:t>
      </w:r>
      <w:r>
        <w:rPr>
          <w:rFonts w:ascii="Times New Roman" w:cs="Times New Roman" w:eastAsia="Times New Roman" w:hAnsi="Times New Roman"/>
          <w:sz w:val="24"/>
          <w:szCs w:val="24"/>
        </w:rPr>
        <w:t xml:space="preserve">Executive Overview — Analysis and Findings</w:t>
      </w:r>
    </w:p>
    <w:p>
      <w:pPr>
        <w:spacing w:after="140" w:before="140"/>
        <w:ind w:left="400"/>
      </w:pPr>
      <w:r>
        <w:rPr>
          <w:rFonts w:ascii="Times New Roman" w:cs="Times New Roman" w:eastAsia="Times New Roman" w:hAnsi="Times New Roman"/>
          <w:b/>
          <w:bCs/>
          <w:sz w:val="24"/>
          <w:szCs w:val="24"/>
        </w:rPr>
        <w:t xml:space="preserve">VI.  </w:t>
      </w:r>
      <w:r>
        <w:rPr>
          <w:rFonts w:ascii="Times New Roman" w:cs="Times New Roman" w:eastAsia="Times New Roman" w:hAnsi="Times New Roman"/>
          <w:sz w:val="24"/>
          <w:szCs w:val="24"/>
        </w:rPr>
        <w:t xml:space="preserve">Talent and Retention — Analysis and Findings</w:t>
      </w:r>
    </w:p>
    <w:p>
      <w:pPr>
        <w:spacing w:after="140" w:before="140"/>
        <w:ind w:left="400"/>
      </w:pPr>
      <w:r>
        <w:rPr>
          <w:rFonts w:ascii="Times New Roman" w:cs="Times New Roman" w:eastAsia="Times New Roman" w:hAnsi="Times New Roman"/>
          <w:b/>
          <w:bCs/>
          <w:sz w:val="24"/>
          <w:szCs w:val="24"/>
        </w:rPr>
        <w:t xml:space="preserve">VII.  </w:t>
      </w:r>
      <w:r>
        <w:rPr>
          <w:rFonts w:ascii="Times New Roman" w:cs="Times New Roman" w:eastAsia="Times New Roman" w:hAnsi="Times New Roman"/>
          <w:sz w:val="24"/>
          <w:szCs w:val="24"/>
        </w:rPr>
        <w:t xml:space="preserve">Employee Wellbeing — Analysis and Findings</w:t>
      </w:r>
    </w:p>
    <w:p>
      <w:pPr>
        <w:spacing w:after="140" w:before="140"/>
        <w:ind w:left="400"/>
      </w:pPr>
      <w:r>
        <w:rPr>
          <w:rFonts w:ascii="Times New Roman" w:cs="Times New Roman" w:eastAsia="Times New Roman" w:hAnsi="Times New Roman"/>
          <w:b/>
          <w:bCs/>
          <w:sz w:val="24"/>
          <w:szCs w:val="24"/>
        </w:rPr>
        <w:t xml:space="preserve">VIII.  </w:t>
      </w:r>
      <w:r>
        <w:rPr>
          <w:rFonts w:ascii="Times New Roman" w:cs="Times New Roman" w:eastAsia="Times New Roman" w:hAnsi="Times New Roman"/>
          <w:sz w:val="24"/>
          <w:szCs w:val="24"/>
        </w:rPr>
        <w:t xml:space="preserve">Remote vs On-Premise — Analysis and Findings</w:t>
      </w:r>
    </w:p>
    <w:p>
      <w:pPr>
        <w:spacing w:after="140" w:before="140"/>
        <w:ind w:left="400"/>
      </w:pPr>
      <w:r>
        <w:rPr>
          <w:rFonts w:ascii="Times New Roman" w:cs="Times New Roman" w:eastAsia="Times New Roman" w:hAnsi="Times New Roman"/>
          <w:b/>
          <w:bCs/>
          <w:sz w:val="24"/>
          <w:szCs w:val="24"/>
        </w:rPr>
        <w:t xml:space="preserve">IX.  </w:t>
      </w:r>
      <w:r>
        <w:rPr>
          <w:rFonts w:ascii="Times New Roman" w:cs="Times New Roman" w:eastAsia="Times New Roman" w:hAnsi="Times New Roman"/>
          <w:sz w:val="24"/>
          <w:szCs w:val="24"/>
        </w:rPr>
        <w:t xml:space="preserve">Summary of Key Findings</w:t>
      </w:r>
    </w:p>
    <w:p>
      <w:pPr>
        <w:spacing w:after="140" w:before="140"/>
        <w:ind w:left="400"/>
      </w:pPr>
      <w:r>
        <w:rPr>
          <w:rFonts w:ascii="Times New Roman" w:cs="Times New Roman" w:eastAsia="Times New Roman" w:hAnsi="Times New Roman"/>
          <w:b/>
          <w:bCs/>
          <w:sz w:val="24"/>
          <w:szCs w:val="24"/>
        </w:rPr>
        <w:t xml:space="preserve">X.  </w:t>
      </w:r>
      <w:r>
        <w:rPr>
          <w:rFonts w:ascii="Times New Roman" w:cs="Times New Roman" w:eastAsia="Times New Roman" w:hAnsi="Times New Roman"/>
          <w:sz w:val="24"/>
          <w:szCs w:val="24"/>
        </w:rPr>
        <w:t xml:space="preserve">Strategic Recommendations</w:t>
      </w:r>
    </w:p>
    <w:p>
      <w:pPr>
        <w:spacing w:after="140" w:before="140"/>
        <w:ind w:left="400"/>
      </w:pPr>
      <w:r>
        <w:rPr>
          <w:rFonts w:ascii="Times New Roman" w:cs="Times New Roman" w:eastAsia="Times New Roman" w:hAnsi="Times New Roman"/>
          <w:b/>
          <w:bCs/>
          <w:sz w:val="24"/>
          <w:szCs w:val="24"/>
        </w:rPr>
        <w:t xml:space="preserve">XI.  </w:t>
      </w:r>
      <w:r>
        <w:rPr>
          <w:rFonts w:ascii="Times New Roman" w:cs="Times New Roman" w:eastAsia="Times New Roman" w:hAnsi="Times New Roman"/>
          <w:sz w:val="24"/>
          <w:szCs w:val="24"/>
        </w:rPr>
        <w:t xml:space="preserve">Limitations and Considerations</w:t>
      </w:r>
    </w:p>
    <w:p>
      <w:pPr>
        <w:spacing w:after="140" w:before="140"/>
        <w:ind w:left="400"/>
      </w:pPr>
      <w:r>
        <w:rPr>
          <w:rFonts w:ascii="Times New Roman" w:cs="Times New Roman" w:eastAsia="Times New Roman" w:hAnsi="Times New Roman"/>
          <w:b/>
          <w:bCs/>
          <w:sz w:val="24"/>
          <w:szCs w:val="24"/>
        </w:rPr>
        <w:t xml:space="preserve">XII.  </w:t>
      </w:r>
      <w:r>
        <w:rPr>
          <w:rFonts w:ascii="Times New Roman" w:cs="Times New Roman" w:eastAsia="Times New Roman" w:hAnsi="Times New Roman"/>
          <w:sz w:val="24"/>
          <w:szCs w:val="24"/>
        </w:rPr>
        <w:t xml:space="preserve">Conclusion</w:t>
      </w:r>
    </w:p>
    <w:p>
      <w:r>
        <w:br w:type="page"/>
      </w:r>
    </w:p>
    <w:p>
      <w:pPr>
        <w:pStyle w:val="Heading1"/>
        <w:pBdr>
          <w:bottom w:val="single" w:color="000000" w:sz="6"/>
        </w:pBdr>
        <w:spacing w:after="200" w:before="500"/>
      </w:pPr>
      <w:r>
        <w:rPr>
          <w:rFonts w:ascii="Times New Roman" w:cs="Times New Roman" w:eastAsia="Times New Roman" w:hAnsi="Times New Roman"/>
          <w:b/>
          <w:bCs/>
          <w:caps/>
          <w:sz w:val="36"/>
          <w:szCs w:val="36"/>
        </w:rPr>
        <w:t xml:space="preserve">I. Introduction and Project Background</w:t>
      </w:r>
    </w:p>
    <w:p>
      <w:pPr>
        <w:pStyle w:val="Heading2"/>
        <w:spacing w:after="140" w:before="320"/>
      </w:pPr>
      <w:r>
        <w:rPr>
          <w:rFonts w:ascii="Times New Roman" w:cs="Times New Roman" w:eastAsia="Times New Roman" w:hAnsi="Times New Roman"/>
          <w:b/>
          <w:bCs/>
          <w:sz w:val="28"/>
          <w:szCs w:val="28"/>
        </w:rPr>
        <w:t xml:space="preserve">1.1 Purpose of This Report</w:t>
      </w:r>
    </w:p>
    <w:p>
      <w:pPr>
        <w:spacing w:after="100" w:before="100"/>
        <w:ind w:firstLine="720"/>
        <w:jc w:val="both"/>
      </w:pPr>
      <w:r>
        <w:rPr>
          <w:rFonts w:ascii="Times New Roman" w:cs="Times New Roman" w:eastAsia="Times New Roman" w:hAnsi="Times New Roman"/>
          <w:sz w:val="24"/>
          <w:szCs w:val="24"/>
        </w:rPr>
        <w:t xml:space="preserve">This report presents a comprehensive analytical account of the HR Engagement Dashboard project, developed using Microsoft Power BI. The primary objective of this project is to transform raw human resources data into actionable intelligence that enables organizational leaders to make evidence-based decisions regarding employee retention, engagement, wellbeing, and workforce strategy.</w:t>
      </w:r>
    </w:p>
    <w:p>
      <w:pPr>
        <w:spacing w:after="100" w:before="100"/>
        <w:ind w:firstLine="720"/>
        <w:jc w:val="both"/>
      </w:pPr>
      <w:r>
        <w:rPr>
          <w:rFonts w:ascii="Times New Roman" w:cs="Times New Roman" w:eastAsia="Times New Roman" w:hAnsi="Times New Roman"/>
          <w:sz w:val="24"/>
          <w:szCs w:val="24"/>
        </w:rPr>
        <w:t xml:space="preserve">The analysis is grounded in a dataset of fifteen thousand employee records drawn from a single organization operating across multiple departments and geographic regions. The dashboard was designed to serve multiple stakeholder groups, including C-suite executives, HR Directors, HR Business Partners, Talent Management professionals, and Operations Managers, each of whom require different perspectives on the same underlying data.</w:t>
      </w:r>
    </w:p>
    <w:p>
      <w:pPr>
        <w:pStyle w:val="Heading2"/>
        <w:spacing w:after="140" w:before="320"/>
      </w:pPr>
      <w:r>
        <w:rPr>
          <w:rFonts w:ascii="Times New Roman" w:cs="Times New Roman" w:eastAsia="Times New Roman" w:hAnsi="Times New Roman"/>
          <w:b/>
          <w:bCs/>
          <w:sz w:val="28"/>
          <w:szCs w:val="28"/>
        </w:rPr>
        <w:t xml:space="preserve">1.2 Business Context</w:t>
      </w:r>
    </w:p>
    <w:p>
      <w:pPr>
        <w:spacing w:after="100" w:before="100"/>
        <w:ind w:firstLine="720"/>
        <w:jc w:val="both"/>
      </w:pPr>
      <w:r>
        <w:rPr>
          <w:rFonts w:ascii="Times New Roman" w:cs="Times New Roman" w:eastAsia="Times New Roman" w:hAnsi="Times New Roman"/>
          <w:sz w:val="24"/>
          <w:szCs w:val="24"/>
        </w:rPr>
        <w:t xml:space="preserve">Employee attrition represents one of the most significant operational and financial challenges facing modern organizations. Beyond the direct costs of recruitment, onboarding, and training, high attrition disrupts institutional knowledge transfer, damages team morale, and creates productivity gaps that can persist for months or years. The financial literature consistently estimates replacement costs at between fifty percent and two hundred percent of an employee's annual salary, depending on role complexity and seniority.</w:t>
      </w:r>
    </w:p>
    <w:p>
      <w:pPr>
        <w:spacing w:after="100" w:before="100"/>
        <w:ind w:firstLine="720"/>
        <w:jc w:val="both"/>
      </w:pPr>
      <w:r>
        <w:rPr>
          <w:rFonts w:ascii="Times New Roman" w:cs="Times New Roman" w:eastAsia="Times New Roman" w:hAnsi="Times New Roman"/>
          <w:sz w:val="24"/>
          <w:szCs w:val="24"/>
        </w:rPr>
        <w:t xml:space="preserve">Against this backdrop, this project was undertaken to provide the organization with a data-driven framework for understanding the drivers of attrition, identifying at-risk employees before they resign, and developing targeted interventions that protect critical talent while addressing systemic organizational challenges.</w:t>
      </w:r>
    </w:p>
    <w:p>
      <w:pPr>
        <w:pStyle w:val="Heading2"/>
        <w:spacing w:after="140" w:before="320"/>
      </w:pPr>
      <w:r>
        <w:rPr>
          <w:rFonts w:ascii="Times New Roman" w:cs="Times New Roman" w:eastAsia="Times New Roman" w:hAnsi="Times New Roman"/>
          <w:b/>
          <w:bCs/>
          <w:sz w:val="28"/>
          <w:szCs w:val="28"/>
        </w:rPr>
        <w:t xml:space="preserve">1.3 Analytical Objectives</w:t>
      </w:r>
    </w:p>
    <w:p>
      <w:pPr>
        <w:spacing w:after="100" w:before="100"/>
        <w:ind w:firstLine="720"/>
        <w:jc w:val="both"/>
      </w:pPr>
      <w:r>
        <w:rPr>
          <w:rFonts w:ascii="Times New Roman" w:cs="Times New Roman" w:eastAsia="Times New Roman" w:hAnsi="Times New Roman"/>
          <w:sz w:val="24"/>
          <w:szCs w:val="24"/>
        </w:rPr>
        <w:t xml:space="preserve">The project was guided by five core analytical objectives, each corresponding to a dashboard page:</w:t>
      </w:r>
    </w:p>
    <w:p>
      <w:pPr>
        <w:spacing w:after="100" w:before="100"/>
        <w:ind w:left="600"/>
        <w:jc w:val="both"/>
      </w:pPr>
      <w:r>
        <w:rPr>
          <w:rFonts w:ascii="Times New Roman" w:cs="Times New Roman" w:eastAsia="Times New Roman" w:hAnsi="Times New Roman"/>
          <w:sz w:val="24"/>
          <w:szCs w:val="24"/>
        </w:rPr>
        <w:t xml:space="preserve">1. To measure and contextualize the organization's overall attrition rate and its distribution across departments, salary bands, and geographic regions.</w:t>
      </w:r>
    </w:p>
    <w:p>
      <w:pPr>
        <w:spacing w:after="100" w:before="100"/>
        <w:ind w:left="600"/>
        <w:jc w:val="both"/>
      </w:pPr>
      <w:r>
        <w:rPr>
          <w:rFonts w:ascii="Times New Roman" w:cs="Times New Roman" w:eastAsia="Times New Roman" w:hAnsi="Times New Roman"/>
          <w:sz w:val="24"/>
          <w:szCs w:val="24"/>
        </w:rPr>
        <w:t xml:space="preserve">2. To classify employees by risk level and profile, identifying those most likely to leave and those who represent critical organizational assets.</w:t>
      </w:r>
    </w:p>
    <w:p>
      <w:pPr>
        <w:spacing w:after="100" w:before="100"/>
        <w:ind w:left="600"/>
        <w:jc w:val="both"/>
      </w:pPr>
      <w:r>
        <w:rPr>
          <w:rFonts w:ascii="Times New Roman" w:cs="Times New Roman" w:eastAsia="Times New Roman" w:hAnsi="Times New Roman"/>
          <w:sz w:val="24"/>
          <w:szCs w:val="24"/>
        </w:rPr>
        <w:t xml:space="preserve">3. To assess the physical and psychological wellbeing of the workforce using both traditional HR indicators and sensor-derived physiological data.</w:t>
      </w:r>
    </w:p>
    <w:p>
      <w:pPr>
        <w:spacing w:after="100" w:before="100"/>
        <w:ind w:left="600"/>
        <w:jc w:val="both"/>
      </w:pPr>
      <w:r>
        <w:rPr>
          <w:rFonts w:ascii="Times New Roman" w:cs="Times New Roman" w:eastAsia="Times New Roman" w:hAnsi="Times New Roman"/>
          <w:sz w:val="24"/>
          <w:szCs w:val="24"/>
        </w:rPr>
        <w:t xml:space="preserve">4. To compare the satisfaction, performance, and behavioral patterns of remote employees versus those working on-premise.</w:t>
      </w:r>
    </w:p>
    <w:p>
      <w:pPr>
        <w:spacing w:after="100" w:before="100"/>
        <w:ind w:left="600"/>
        <w:jc w:val="both"/>
      </w:pPr>
      <w:r>
        <w:rPr>
          <w:rFonts w:ascii="Times New Roman" w:cs="Times New Roman" w:eastAsia="Times New Roman" w:hAnsi="Times New Roman"/>
          <w:sz w:val="24"/>
          <w:szCs w:val="24"/>
        </w:rPr>
        <w:t xml:space="preserve">5. To generate a consolidated set of strategic recommendations grounded in the evidence produced by the analysis.</w:t>
      </w:r>
    </w:p>
    <w:p>
      <w:r>
        <w:br w:type="page"/>
      </w:r>
    </w:p>
    <w:p>
      <w:pPr>
        <w:pStyle w:val="Heading1"/>
        <w:pBdr>
          <w:bottom w:val="single" w:color="000000" w:sz="6"/>
        </w:pBdr>
        <w:spacing w:after="200" w:before="500"/>
      </w:pPr>
      <w:r>
        <w:rPr>
          <w:rFonts w:ascii="Times New Roman" w:cs="Times New Roman" w:eastAsia="Times New Roman" w:hAnsi="Times New Roman"/>
          <w:b/>
          <w:bCs/>
          <w:caps/>
          <w:sz w:val="36"/>
          <w:szCs w:val="36"/>
        </w:rPr>
        <w:t xml:space="preserve">II. Dataset Description and Structure</w:t>
      </w:r>
    </w:p>
    <w:p>
      <w:pPr>
        <w:pStyle w:val="Heading2"/>
        <w:spacing w:after="140" w:before="320"/>
      </w:pPr>
      <w:r>
        <w:rPr>
          <w:rFonts w:ascii="Times New Roman" w:cs="Times New Roman" w:eastAsia="Times New Roman" w:hAnsi="Times New Roman"/>
          <w:b/>
          <w:bCs/>
          <w:sz w:val="28"/>
          <w:szCs w:val="28"/>
        </w:rPr>
        <w:t xml:space="preserve">2.1 Dataset Overview</w:t>
      </w:r>
    </w:p>
    <w:p>
      <w:pPr>
        <w:spacing w:after="100" w:before="100"/>
        <w:ind w:firstLine="720"/>
        <w:jc w:val="both"/>
      </w:pPr>
      <w:r>
        <w:rPr>
          <w:rFonts w:ascii="Times New Roman" w:cs="Times New Roman" w:eastAsia="Times New Roman" w:hAnsi="Times New Roman"/>
          <w:sz w:val="24"/>
          <w:szCs w:val="24"/>
        </w:rPr>
        <w:t xml:space="preserve">The primary dataset for this project is the HR Engagement Sat Sales dataset, a structured tabular dataset containing fifteen thousand rows of employee-level records. Prior to any data cleaning or transformation, the dataset contained fifty-nine columns spanning a wide range of employee attributes, behavioral indicators, satisfaction scores, and sensor readings.</w:t>
      </w:r>
    </w:p>
    <w:p>
      <w:pPr>
        <w:spacing w:after="100" w:before="100"/>
        <w:ind w:firstLine="720"/>
        <w:jc w:val="both"/>
      </w:pPr>
      <w:r>
        <w:rPr>
          <w:rFonts w:ascii="Times New Roman" w:cs="Times New Roman" w:eastAsia="Times New Roman" w:hAnsi="Times New Roman"/>
          <w:sz w:val="24"/>
          <w:szCs w:val="24"/>
        </w:rPr>
        <w:t xml:space="preserve">The dataset does not contain a specific time dimension representing historical snapshots. Instead, each row represents a single employee's current state at the point of data collection. This cross-sectional structure means that trends over time cannot be directly measured from the data alone; however, columns such as time_spend_company and promotion_last_5_years provide indirect temporal context.</w:t>
      </w:r>
    </w:p>
    <w:p>
      <w:pPr>
        <w:pStyle w:val="Heading2"/>
        <w:spacing w:after="140" w:before="320"/>
      </w:pPr>
      <w:r>
        <w:rPr>
          <w:rFonts w:ascii="Times New Roman" w:cs="Times New Roman" w:eastAsia="Times New Roman" w:hAnsi="Times New Roman"/>
          <w:b/>
          <w:bCs/>
          <w:sz w:val="28"/>
          <w:szCs w:val="28"/>
        </w:rPr>
        <w:t xml:space="preserve">2.2 Column Categories</w:t>
      </w:r>
    </w:p>
    <w:p>
      <w:pPr>
        <w:pStyle w:val="Heading3"/>
        <w:spacing w:after="100" w:before="220"/>
      </w:pPr>
      <w:r>
        <w:rPr>
          <w:rFonts w:ascii="Times New Roman" w:cs="Times New Roman" w:eastAsia="Times New Roman" w:hAnsi="Times New Roman"/>
          <w:b/>
          <w:bCs/>
          <w:i/>
          <w:iCs/>
          <w:sz w:val="24"/>
          <w:szCs w:val="24"/>
        </w:rPr>
        <w:t xml:space="preserve">Employee Identity and Demographics</w:t>
      </w:r>
    </w:p>
    <w:p>
      <w:pPr>
        <w:spacing w:after="100" w:before="100"/>
        <w:ind w:firstLine="720"/>
        <w:jc w:val="both"/>
      </w:pPr>
      <w:r>
        <w:rPr>
          <w:rFonts w:ascii="Times New Roman" w:cs="Times New Roman" w:eastAsia="Times New Roman" w:hAnsi="Times New Roman"/>
          <w:sz w:val="24"/>
          <w:szCs w:val="24"/>
        </w:rPr>
        <w:t xml:space="preserve">The identity and demographic columns include the employee's unique identifier, full name, department affiliation, geographic location, role classification, gender, and salary band. The salary band is expressed as a categorical variable with three levels: low, medium, and high. Geographic data is recorded at the country level, with employees distributed across regions including the United Kingdom, France, South Korea, Japan, China, Colombia, Turkey, and others.</w:t>
      </w:r>
    </w:p>
    <w:p>
      <w:pPr>
        <w:pStyle w:val="Heading3"/>
        <w:spacing w:after="100" w:before="220"/>
      </w:pPr>
      <w:r>
        <w:rPr>
          <w:rFonts w:ascii="Times New Roman" w:cs="Times New Roman" w:eastAsia="Times New Roman" w:hAnsi="Times New Roman"/>
          <w:b/>
          <w:bCs/>
          <w:i/>
          <w:iCs/>
          <w:sz w:val="24"/>
          <w:szCs w:val="24"/>
        </w:rPr>
        <w:t xml:space="preserve">Performance and Productivity Indicators</w:t>
      </w:r>
    </w:p>
    <w:p>
      <w:pPr>
        <w:spacing w:after="100" w:before="100"/>
        <w:ind w:firstLine="720"/>
        <w:jc w:val="both"/>
      </w:pPr>
      <w:r>
        <w:rPr>
          <w:rFonts w:ascii="Times New Roman" w:cs="Times New Roman" w:eastAsia="Times New Roman" w:hAnsi="Times New Roman"/>
          <w:sz w:val="24"/>
          <w:szCs w:val="24"/>
        </w:rPr>
        <w:t xml:space="preserve">Performance-related columns capture multiple dimensions of employee output and work behavior. The last_evaluation column records the employee's most recent performance appraisal score, expressed as a decimal between 0.36 and 1.0, where higher values indicate stronger performance. Additional columns capture the number of projects completed, average monthly hours worked, and total years spent at the company. A binary column indicates whether the employee received a promotion in the last five years.</w:t>
      </w:r>
    </w:p>
    <w:p>
      <w:pPr>
        <w:pStyle w:val="Heading3"/>
        <w:spacing w:after="100" w:before="220"/>
      </w:pPr>
      <w:r>
        <w:rPr>
          <w:rFonts w:ascii="Times New Roman" w:cs="Times New Roman" w:eastAsia="Times New Roman" w:hAnsi="Times New Roman"/>
          <w:b/>
          <w:bCs/>
          <w:i/>
          <w:iCs/>
          <w:sz w:val="24"/>
          <w:szCs w:val="24"/>
        </w:rPr>
        <w:t xml:space="preserve">Engagement and Satisfaction Scores</w:t>
      </w:r>
    </w:p>
    <w:p>
      <w:pPr>
        <w:spacing w:after="100" w:before="100"/>
        <w:ind w:firstLine="720"/>
        <w:jc w:val="both"/>
      </w:pPr>
      <w:r>
        <w:rPr>
          <w:rFonts w:ascii="Times New Roman" w:cs="Times New Roman" w:eastAsia="Times New Roman" w:hAnsi="Times New Roman"/>
          <w:sz w:val="24"/>
          <w:szCs w:val="24"/>
        </w:rPr>
        <w:t xml:space="preserve">Engagement and satisfaction data is captured across three groups of five columns each, representing responses to multi-item survey scales. The EMP_Sat_Onprem columns capture on-premise satisfaction across five distinct survey items. The EMP_Sat_Remote columns capture equivalent satisfaction scores for the remote work experience. The EMP_Engagement columns measure overall employee engagement across five dimensions. Each group of five columns was aggregated into a single average score during the feature engineering phase.</w:t>
      </w:r>
    </w:p>
    <w:p>
      <w:pPr>
        <w:pStyle w:val="Heading3"/>
        <w:spacing w:after="100" w:before="220"/>
      </w:pPr>
      <w:r>
        <w:rPr>
          <w:rFonts w:ascii="Times New Roman" w:cs="Times New Roman" w:eastAsia="Times New Roman" w:hAnsi="Times New Roman"/>
          <w:b/>
          <w:bCs/>
          <w:i/>
          <w:iCs/>
          <w:sz w:val="24"/>
          <w:szCs w:val="24"/>
        </w:rPr>
        <w:t xml:space="preserve">Behavioral and Attitudinal Indicators</w:t>
      </w:r>
    </w:p>
    <w:p>
      <w:pPr>
        <w:spacing w:after="100" w:before="100"/>
        <w:ind w:firstLine="720"/>
        <w:jc w:val="both"/>
      </w:pPr>
      <w:r>
        <w:rPr>
          <w:rFonts w:ascii="Times New Roman" w:cs="Times New Roman" w:eastAsia="Times New Roman" w:hAnsi="Times New Roman"/>
          <w:sz w:val="24"/>
          <w:szCs w:val="24"/>
        </w:rPr>
        <w:t xml:space="preserve">This category includes columns measuring the degree to which employees exhibit competitive and collaborative behaviors, as assessed through five-item scales. Additionally, a Will_Relocate binary column indicates whether the employee is willing to relocate for the organization. The LinkedIn_Hits column records the number of times an employee's LinkedIn profile has been visited, serving as a proxy for passive job market activity. Binary columns record whether the employee has experienced a work accident and whether the employee has left the company.</w:t>
      </w:r>
    </w:p>
    <w:p>
      <w:pPr>
        <w:pStyle w:val="Heading3"/>
        <w:spacing w:after="100" w:before="220"/>
      </w:pPr>
      <w:r>
        <w:rPr>
          <w:rFonts w:ascii="Times New Roman" w:cs="Times New Roman" w:eastAsia="Times New Roman" w:hAnsi="Times New Roman"/>
          <w:b/>
          <w:bCs/>
          <w:i/>
          <w:iCs/>
          <w:sz w:val="24"/>
          <w:szCs w:val="24"/>
        </w:rPr>
        <w:t xml:space="preserve">Leave Indicators</w:t>
      </w:r>
    </w:p>
    <w:p>
      <w:pPr>
        <w:spacing w:after="100" w:before="100"/>
        <w:ind w:firstLine="720"/>
        <w:jc w:val="both"/>
      </w:pPr>
      <w:r>
        <w:rPr>
          <w:rFonts w:ascii="Times New Roman" w:cs="Times New Roman" w:eastAsia="Times New Roman" w:hAnsi="Times New Roman"/>
          <w:sz w:val="24"/>
          <w:szCs w:val="24"/>
        </w:rPr>
        <w:t xml:space="preserve">Two columns capture leave-taking behavior, one for female employees and one for male employees. Each column contains three possible values: zero, indicating no leave taken; one, indicating leave was taken; and the string 'Not Applicable', indicating that the column does not apply to the employee's gender.</w:t>
      </w:r>
    </w:p>
    <w:p>
      <w:pPr>
        <w:pStyle w:val="Heading3"/>
        <w:spacing w:after="100" w:before="220"/>
      </w:pPr>
      <w:r>
        <w:rPr>
          <w:rFonts w:ascii="Times New Roman" w:cs="Times New Roman" w:eastAsia="Times New Roman" w:hAnsi="Times New Roman"/>
          <w:b/>
          <w:bCs/>
          <w:i/>
          <w:iCs/>
          <w:sz w:val="24"/>
          <w:szCs w:val="24"/>
        </w:rPr>
        <w:t xml:space="preserve">Sensor Data</w:t>
      </w:r>
    </w:p>
    <w:p>
      <w:pPr>
        <w:spacing w:after="100" w:before="100"/>
        <w:ind w:firstLine="720"/>
        <w:jc w:val="both"/>
      </w:pPr>
      <w:r>
        <w:rPr>
          <w:rFonts w:ascii="Times New Roman" w:cs="Times New Roman" w:eastAsia="Times New Roman" w:hAnsi="Times New Roman"/>
          <w:sz w:val="24"/>
          <w:szCs w:val="24"/>
        </w:rPr>
        <w:t xml:space="preserve">Three sensor-derived columns provide physiological and behavioral measurements. The Sensor_StepCount column records the employee's average daily step count. The Sensor_Heartbeat column records the average heart rate in beats per minute. The Sensor_Proximity column records a score from one to ten indicating the employee's physical proximity to colleagues, where one represents the highest proximity and ten represents the greatest isolation.</w:t>
      </w:r>
    </w:p>
    <w:p>
      <w:pPr>
        <w:pStyle w:val="Heading3"/>
        <w:spacing w:after="100" w:before="220"/>
      </w:pPr>
      <w:r>
        <w:rPr>
          <w:rFonts w:ascii="Times New Roman" w:cs="Times New Roman" w:eastAsia="Times New Roman" w:hAnsi="Times New Roman"/>
          <w:b/>
          <w:bCs/>
          <w:i/>
          <w:iCs/>
          <w:sz w:val="24"/>
          <w:szCs w:val="24"/>
        </w:rPr>
        <w:t xml:space="preserve">Remote Work Percentage</w:t>
      </w:r>
    </w:p>
    <w:p>
      <w:pPr>
        <w:spacing w:after="100" w:before="100"/>
        <w:ind w:firstLine="720"/>
        <w:jc w:val="both"/>
      </w:pPr>
      <w:r>
        <w:rPr>
          <w:rFonts w:ascii="Times New Roman" w:cs="Times New Roman" w:eastAsia="Times New Roman" w:hAnsi="Times New Roman"/>
          <w:sz w:val="24"/>
          <w:szCs w:val="24"/>
        </w:rPr>
        <w:t xml:space="preserve">The Percent_Remote column records the proportion of the employee's working time spent remotely. The column contains four distinct values: 0.4, representing employees who work remotely approximately forty percent of the time and are considered primarily on-premise; 0.5, representing a balanced hybrid arrangement; 0.8, representing employees who work remotely most of the time; and 1.0, representing fully remote employees.</w:t>
      </w:r>
    </w:p>
    <w:p>
      <w:pPr>
        <w:pStyle w:val="Heading2"/>
        <w:spacing w:after="140" w:before="320"/>
      </w:pPr>
      <w:r>
        <w:rPr>
          <w:rFonts w:ascii="Times New Roman" w:cs="Times New Roman" w:eastAsia="Times New Roman" w:hAnsi="Times New Roman"/>
          <w:b/>
          <w:bCs/>
          <w:sz w:val="28"/>
          <w:szCs w:val="28"/>
        </w:rPr>
        <w:t xml:space="preserve">2.3 Columns Removed Prior to Analysis</w:t>
      </w:r>
    </w:p>
    <w:p>
      <w:pPr>
        <w:spacing w:after="100" w:before="100"/>
        <w:ind w:firstLine="720"/>
        <w:jc w:val="both"/>
      </w:pPr>
      <w:r>
        <w:rPr>
          <w:rFonts w:ascii="Times New Roman" w:cs="Times New Roman" w:eastAsia="Times New Roman" w:hAnsi="Times New Roman"/>
          <w:sz w:val="24"/>
          <w:szCs w:val="24"/>
        </w:rPr>
        <w:t xml:space="preserve">Six columns were identified during the exploratory data analysis phase as having insufficient analytical value to justify their inclusion in the dashboard. These columns were removed from the dataset prior to modeling and visualization.</w:t>
      </w:r>
    </w:p>
    <w:p>
      <w:pPr>
        <w:spacing w:after="100" w:before="100"/>
        <w:ind w:firstLine="720"/>
        <w:jc w:val="both"/>
      </w:pPr>
      <w:r>
        <w:rPr>
          <w:rFonts w:ascii="Times New Roman" w:cs="Times New Roman" w:eastAsia="Times New Roman" w:hAnsi="Times New Roman"/>
          <w:sz w:val="24"/>
          <w:szCs w:val="24"/>
        </w:rPr>
        <w:t xml:space="preserve">The Rising Star column was removed because it contained no data whatsoever; every row in the column was empty. The Critical column was removed because approximately ninety percent of its values were missing, with insufficient non-null observations to support meaningful analysis. The Trending Perf, Talent Level, and Validated Talent columns were each removed because they contained a single constant value across all fifteen thousand rows, providing no discriminatory information. The CSR Factor column was removed because more than sixty percent of its values were null, rendering it analytically unreliable.</w:t>
      </w:r>
    </w:p>
    <w:p>
      <w:r>
        <w:br w:type="page"/>
      </w:r>
    </w:p>
    <w:p>
      <w:pPr>
        <w:pStyle w:val="Heading1"/>
        <w:pBdr>
          <w:bottom w:val="single" w:color="000000" w:sz="6"/>
        </w:pBdr>
        <w:spacing w:after="200" w:before="500"/>
      </w:pPr>
      <w:r>
        <w:rPr>
          <w:rFonts w:ascii="Times New Roman" w:cs="Times New Roman" w:eastAsia="Times New Roman" w:hAnsi="Times New Roman"/>
          <w:b/>
          <w:bCs/>
          <w:caps/>
          <w:sz w:val="36"/>
          <w:szCs w:val="36"/>
        </w:rPr>
        <w:t xml:space="preserve">III. Data Preparation and Methodology</w:t>
      </w:r>
    </w:p>
    <w:p>
      <w:pPr>
        <w:pStyle w:val="Heading2"/>
        <w:spacing w:after="140" w:before="320"/>
      </w:pPr>
      <w:r>
        <w:rPr>
          <w:rFonts w:ascii="Times New Roman" w:cs="Times New Roman" w:eastAsia="Times New Roman" w:hAnsi="Times New Roman"/>
          <w:b/>
          <w:bCs/>
          <w:sz w:val="28"/>
          <w:szCs w:val="28"/>
        </w:rPr>
        <w:t xml:space="preserve">3.1 Data Cleaning Procedures</w:t>
      </w:r>
    </w:p>
    <w:p>
      <w:pPr>
        <w:pStyle w:val="Heading3"/>
        <w:spacing w:after="100" w:before="220"/>
      </w:pPr>
      <w:r>
        <w:rPr>
          <w:rFonts w:ascii="Times New Roman" w:cs="Times New Roman" w:eastAsia="Times New Roman" w:hAnsi="Times New Roman"/>
          <w:b/>
          <w:bCs/>
          <w:i/>
          <w:iCs/>
          <w:sz w:val="24"/>
          <w:szCs w:val="24"/>
        </w:rPr>
        <w:t xml:space="preserve">Null Value Treatment</w:t>
      </w:r>
    </w:p>
    <w:p>
      <w:pPr>
        <w:spacing w:after="100" w:before="100"/>
        <w:ind w:firstLine="720"/>
        <w:jc w:val="both"/>
      </w:pPr>
      <w:r>
        <w:rPr>
          <w:rFonts w:ascii="Times New Roman" w:cs="Times New Roman" w:eastAsia="Times New Roman" w:hAnsi="Times New Roman"/>
          <w:sz w:val="24"/>
          <w:szCs w:val="24"/>
        </w:rPr>
        <w:t xml:space="preserve">The EMP_Sat_Onprem columns contained one hundred and twenty-nine null values across the five items. Given that this represents less than one percent of the total dataset, these values were replaced using the mode of each respective column. The mode was selected over the mean to preserve the ordinal nature of the satisfaction scale and to avoid introducing non-integer values into what was effectively a Likert-type scale.</w:t>
      </w:r>
    </w:p>
    <w:p>
      <w:pPr>
        <w:spacing w:after="100" w:before="100"/>
        <w:ind w:firstLine="720"/>
        <w:jc w:val="both"/>
      </w:pPr>
      <w:r>
        <w:rPr>
          <w:rFonts w:ascii="Times New Roman" w:cs="Times New Roman" w:eastAsia="Times New Roman" w:hAnsi="Times New Roman"/>
          <w:sz w:val="24"/>
          <w:szCs w:val="24"/>
        </w:rPr>
        <w:t xml:space="preserve">The Women_Leave and Men_Leave columns contained values recorded as the string 'Not Applicable' to indicate that the leave measure was inapplicable to the employee's gender. These were not true missing values but rather meaningful categorical states. They were retained as a distinct category labeled 'Not Applicable' rather than being treated as null values or imputed.</w:t>
      </w:r>
    </w:p>
    <w:p>
      <w:pPr>
        <w:pStyle w:val="Heading3"/>
        <w:spacing w:after="100" w:before="220"/>
      </w:pPr>
      <w:r>
        <w:rPr>
          <w:rFonts w:ascii="Times New Roman" w:cs="Times New Roman" w:eastAsia="Times New Roman" w:hAnsi="Times New Roman"/>
          <w:b/>
          <w:bCs/>
          <w:i/>
          <w:iCs/>
          <w:sz w:val="24"/>
          <w:szCs w:val="24"/>
        </w:rPr>
        <w:t xml:space="preserve">Data Type Standardization</w:t>
      </w:r>
    </w:p>
    <w:p>
      <w:pPr>
        <w:spacing w:after="100" w:before="100"/>
        <w:ind w:firstLine="720"/>
        <w:jc w:val="both"/>
      </w:pPr>
      <w:r>
        <w:rPr>
          <w:rFonts w:ascii="Times New Roman" w:cs="Times New Roman" w:eastAsia="Times New Roman" w:hAnsi="Times New Roman"/>
          <w:sz w:val="24"/>
          <w:szCs w:val="24"/>
        </w:rPr>
        <w:t xml:space="preserve">All numerical columns were verified to have appropriate data types assigned in Power Query. Satisfaction and engagement scores were confirmed as whole numbers. The last_evaluation column was confirmed as a decimal. Binary columns including left_company, Work_accident, Will_Relocate, Women_Leave, and Men_Leave were verified to contain only their expected values. The Salary column was confirmed as text with three categorical levels.</w:t>
      </w:r>
    </w:p>
    <w:p>
      <w:pPr>
        <w:pStyle w:val="Heading2"/>
        <w:spacing w:after="140" w:before="320"/>
      </w:pPr>
      <w:r>
        <w:rPr>
          <w:rFonts w:ascii="Times New Roman" w:cs="Times New Roman" w:eastAsia="Times New Roman" w:hAnsi="Times New Roman"/>
          <w:b/>
          <w:bCs/>
          <w:sz w:val="28"/>
          <w:szCs w:val="28"/>
        </w:rPr>
        <w:t xml:space="preserve">3.2 Feature Engineering</w:t>
      </w:r>
    </w:p>
    <w:p>
      <w:pPr>
        <w:spacing w:after="100" w:before="100"/>
        <w:ind w:firstLine="720"/>
        <w:jc w:val="both"/>
      </w:pPr>
      <w:r>
        <w:rPr>
          <w:rFonts w:ascii="Times New Roman" w:cs="Times New Roman" w:eastAsia="Times New Roman" w:hAnsi="Times New Roman"/>
          <w:sz w:val="24"/>
          <w:szCs w:val="24"/>
        </w:rPr>
        <w:t xml:space="preserve">Ten new calculated columns were created using DAX to enrich the dataset with derived variables that better capture the analytical constructs of interest.</w:t>
      </w:r>
    </w:p>
    <w:p>
      <w:pPr>
        <w:pStyle w:val="Heading3"/>
        <w:spacing w:after="100" w:before="220"/>
      </w:pPr>
      <w:r>
        <w:rPr>
          <w:rFonts w:ascii="Times New Roman" w:cs="Times New Roman" w:eastAsia="Times New Roman" w:hAnsi="Times New Roman"/>
          <w:b/>
          <w:bCs/>
          <w:i/>
          <w:iCs/>
          <w:sz w:val="24"/>
          <w:szCs w:val="24"/>
        </w:rPr>
        <w:t xml:space="preserve">Aggregated Satisfaction and Engagement Scores</w:t>
      </w:r>
    </w:p>
    <w:p>
      <w:pPr>
        <w:spacing w:after="100" w:before="100"/>
        <w:ind w:firstLine="720"/>
        <w:jc w:val="both"/>
      </w:pPr>
      <w:r>
        <w:rPr>
          <w:rFonts w:ascii="Times New Roman" w:cs="Times New Roman" w:eastAsia="Times New Roman" w:hAnsi="Times New Roman"/>
          <w:sz w:val="24"/>
          <w:szCs w:val="24"/>
        </w:rPr>
        <w:t xml:space="preserve">The five EMP_Sat_Onprem columns were averaged into a single Avg Sat Onprem column using the DAX DIVIDE function. The same approach was applied to create Avg Sat Remote from the five EMP_Sat_Remote columns, Avg Engagement from the five EMP_Engagement columns, Avg Competitive from the five emp_competitive columns, Avg Collaborative from the five emp_collaborative columns, and Avg Work Status from the four emp_work_status columns spanning items two through five.</w:t>
      </w:r>
    </w:p>
    <w:p>
      <w:pPr>
        <w:pStyle w:val="Heading3"/>
        <w:spacing w:after="100" w:before="220"/>
      </w:pPr>
      <w:r>
        <w:rPr>
          <w:rFonts w:ascii="Times New Roman" w:cs="Times New Roman" w:eastAsia="Times New Roman" w:hAnsi="Times New Roman"/>
          <w:b/>
          <w:bCs/>
          <w:i/>
          <w:iCs/>
          <w:sz w:val="24"/>
          <w:szCs w:val="24"/>
        </w:rPr>
        <w:t xml:space="preserve">Attrition Risk Classification</w:t>
      </w:r>
    </w:p>
    <w:p>
      <w:pPr>
        <w:spacing w:after="100" w:before="100"/>
        <w:ind w:firstLine="720"/>
        <w:jc w:val="both"/>
      </w:pPr>
      <w:r>
        <w:rPr>
          <w:rFonts w:ascii="Times New Roman" w:cs="Times New Roman" w:eastAsia="Times New Roman" w:hAnsi="Times New Roman"/>
          <w:sz w:val="24"/>
          <w:szCs w:val="24"/>
        </w:rPr>
        <w:t xml:space="preserve">The Attrition Risk column was constructed using a conditional DAX formula that classifies each employee into one of three risk categories. Employees with a last_evaluation score below 0.60 are classified as High Risk, reflecting both low performance and the correlation between underperformance and departure. Employees with scores between 0.60 and 0.79 are classified as Medium Risk. Employees with scores of 0.80 or above are classified as Low Risk. This threshold-based approach was calibrated against the observed distribution of last_evaluation values, which ranged from 0.36 to 1.0.</w:t>
      </w:r>
    </w:p>
    <w:p>
      <w:pPr>
        <w:pStyle w:val="Heading3"/>
        <w:spacing w:after="100" w:before="220"/>
      </w:pPr>
      <w:r>
        <w:rPr>
          <w:rFonts w:ascii="Times New Roman" w:cs="Times New Roman" w:eastAsia="Times New Roman" w:hAnsi="Times New Roman"/>
          <w:b/>
          <w:bCs/>
          <w:i/>
          <w:iCs/>
          <w:sz w:val="24"/>
          <w:szCs w:val="24"/>
        </w:rPr>
        <w:t xml:space="preserve">Employee Profile Classification</w:t>
      </w:r>
    </w:p>
    <w:p>
      <w:pPr>
        <w:spacing w:after="100" w:before="100"/>
        <w:ind w:firstLine="720"/>
        <w:jc w:val="both"/>
      </w:pPr>
      <w:r>
        <w:rPr>
          <w:rFonts w:ascii="Times New Roman" w:cs="Times New Roman" w:eastAsia="Times New Roman" w:hAnsi="Times New Roman"/>
          <w:sz w:val="24"/>
          <w:szCs w:val="24"/>
        </w:rPr>
        <w:t xml:space="preserve">The Employee Profile column classifies each employee into one of three categories. Employees with a last_evaluation score of 0.80 or above and an Avg Engagement score of 3.5 or above are classified as Star Employees. Employees with a last_evaluation score of 0.60 or above and an Avg Engagement score of 3.0 or above are classified as Solid Employees. All remaining employees are classified as Needs Attention.</w:t>
      </w:r>
    </w:p>
    <w:p>
      <w:pPr>
        <w:pStyle w:val="Heading3"/>
        <w:spacing w:after="100" w:before="220"/>
      </w:pPr>
      <w:r>
        <w:rPr>
          <w:rFonts w:ascii="Times New Roman" w:cs="Times New Roman" w:eastAsia="Times New Roman" w:hAnsi="Times New Roman"/>
          <w:b/>
          <w:bCs/>
          <w:i/>
          <w:iCs/>
          <w:sz w:val="24"/>
          <w:szCs w:val="24"/>
        </w:rPr>
        <w:t xml:space="preserve">LinkedIn Risk Classification</w:t>
      </w:r>
    </w:p>
    <w:p>
      <w:pPr>
        <w:spacing w:after="100" w:before="100"/>
        <w:ind w:firstLine="720"/>
        <w:jc w:val="both"/>
      </w:pPr>
      <w:r>
        <w:rPr>
          <w:rFonts w:ascii="Times New Roman" w:cs="Times New Roman" w:eastAsia="Times New Roman" w:hAnsi="Times New Roman"/>
          <w:sz w:val="24"/>
          <w:szCs w:val="24"/>
        </w:rPr>
        <w:t xml:space="preserve">The LinkedIn Risk column classifies each employee's LinkedIn activity into three risk levels. Employees with more than 45 LinkedIn Hits per month are classified as High Risk, as elevated profile activity is interpreted as an indicator of active job searching. Employees with 21 to 45 hits are classified as Medium Risk. Employees with 20 or fewer hits are classified as Safe.</w:t>
      </w:r>
    </w:p>
    <w:p>
      <w:pPr>
        <w:pStyle w:val="Heading3"/>
        <w:spacing w:after="100" w:before="220"/>
      </w:pPr>
      <w:r>
        <w:rPr>
          <w:rFonts w:ascii="Times New Roman" w:cs="Times New Roman" w:eastAsia="Times New Roman" w:hAnsi="Times New Roman"/>
          <w:b/>
          <w:bCs/>
          <w:i/>
          <w:iCs/>
          <w:sz w:val="24"/>
          <w:szCs w:val="24"/>
        </w:rPr>
        <w:t xml:space="preserve">Wellbeing Score</w:t>
      </w:r>
    </w:p>
    <w:p>
      <w:pPr>
        <w:spacing w:after="100" w:before="100"/>
        <w:ind w:firstLine="720"/>
        <w:jc w:val="both"/>
      </w:pPr>
      <w:r>
        <w:rPr>
          <w:rFonts w:ascii="Times New Roman" w:cs="Times New Roman" w:eastAsia="Times New Roman" w:hAnsi="Times New Roman"/>
          <w:sz w:val="24"/>
          <w:szCs w:val="24"/>
        </w:rPr>
        <w:t xml:space="preserve">The Wellbeing Score is a composite variable constructed from the three sensor columns. The formula weights step count, proximity, and heart rate into a single composite indicator. Employees with heart rates within the healthy range of 60 to 100 beats per minute receive a higher contribution from the heart rate component. The resulting score ranges from approximately 6 to 14 in the observed data, with higher values indicating better overall wellbeing.</w:t>
      </w:r>
    </w:p>
    <w:p>
      <w:pPr>
        <w:pStyle w:val="Heading2"/>
        <w:spacing w:after="140" w:before="320"/>
      </w:pPr>
      <w:r>
        <w:rPr>
          <w:rFonts w:ascii="Times New Roman" w:cs="Times New Roman" w:eastAsia="Times New Roman" w:hAnsi="Times New Roman"/>
          <w:b/>
          <w:bCs/>
          <w:sz w:val="28"/>
          <w:szCs w:val="28"/>
        </w:rPr>
        <w:t xml:space="preserve">3.3 DAX Measures</w:t>
      </w:r>
    </w:p>
    <w:p>
      <w:pPr>
        <w:spacing w:after="100" w:before="100"/>
        <w:ind w:firstLine="720"/>
        <w:jc w:val="both"/>
      </w:pPr>
      <w:r>
        <w:rPr>
          <w:rFonts w:ascii="Times New Roman" w:cs="Times New Roman" w:eastAsia="Times New Roman" w:hAnsi="Times New Roman"/>
          <w:sz w:val="24"/>
          <w:szCs w:val="24"/>
        </w:rPr>
        <w:t xml:space="preserve">In addition to the calculated columns, seven DAX measures were created to support the dashboard visualizations:</w:t>
      </w:r>
    </w:p>
    <w:p>
      <w:pPr>
        <w:spacing w:after="80" w:before="80"/>
        <w:ind w:left="600"/>
      </w:pPr>
      <w:r>
        <w:rPr>
          <w:rFonts w:ascii="Times New Roman" w:cs="Times New Roman" w:eastAsia="Times New Roman" w:hAnsi="Times New Roman"/>
          <w:b/>
          <w:bCs/>
          <w:sz w:val="24"/>
          <w:szCs w:val="24"/>
        </w:rPr>
        <w:t xml:space="preserve">Total Employees: </w:t>
      </w:r>
      <w:r>
        <w:rPr>
          <w:rFonts w:ascii="Times New Roman" w:cs="Times New Roman" w:eastAsia="Times New Roman" w:hAnsi="Times New Roman"/>
          <w:sz w:val="24"/>
          <w:szCs w:val="24"/>
        </w:rPr>
        <w:t xml:space="preserve">COUNTROWS(Table) — returns 15,000</w:t>
      </w:r>
    </w:p>
    <w:p>
      <w:pPr>
        <w:spacing w:after="80" w:before="80"/>
        <w:ind w:left="600"/>
      </w:pPr>
      <w:r>
        <w:rPr>
          <w:rFonts w:ascii="Times New Roman" w:cs="Times New Roman" w:eastAsia="Times New Roman" w:hAnsi="Times New Roman"/>
          <w:b/>
          <w:bCs/>
          <w:sz w:val="24"/>
          <w:szCs w:val="24"/>
        </w:rPr>
        <w:t xml:space="preserve">Attrition Rate: </w:t>
      </w:r>
      <w:r>
        <w:rPr>
          <w:rFonts w:ascii="Times New Roman" w:cs="Times New Roman" w:eastAsia="Times New Roman" w:hAnsi="Times New Roman"/>
          <w:sz w:val="24"/>
          <w:szCs w:val="24"/>
        </w:rPr>
        <w:t xml:space="preserve">SUM(left_company) / COUNTROWS(Table) — returns 0.238, formatted as 24%</w:t>
      </w:r>
    </w:p>
    <w:p>
      <w:pPr>
        <w:spacing w:after="80" w:before="80"/>
        <w:ind w:left="600"/>
      </w:pPr>
      <w:r>
        <w:rPr>
          <w:rFonts w:ascii="Times New Roman" w:cs="Times New Roman" w:eastAsia="Times New Roman" w:hAnsi="Times New Roman"/>
          <w:b/>
          <w:bCs/>
          <w:sz w:val="24"/>
          <w:szCs w:val="24"/>
        </w:rPr>
        <w:t xml:space="preserve">Avg Satisfaction: </w:t>
      </w:r>
      <w:r>
        <w:rPr>
          <w:rFonts w:ascii="Times New Roman" w:cs="Times New Roman" w:eastAsia="Times New Roman" w:hAnsi="Times New Roman"/>
          <w:sz w:val="24"/>
          <w:szCs w:val="24"/>
        </w:rPr>
        <w:t xml:space="preserve">AVERAGE(Avg Sat Onprem) — returns 3.0 out of 5.0</w:t>
      </w:r>
    </w:p>
    <w:p>
      <w:pPr>
        <w:spacing w:after="80" w:before="80"/>
        <w:ind w:left="600"/>
      </w:pPr>
      <w:r>
        <w:rPr>
          <w:rFonts w:ascii="Times New Roman" w:cs="Times New Roman" w:eastAsia="Times New Roman" w:hAnsi="Times New Roman"/>
          <w:b/>
          <w:bCs/>
          <w:sz w:val="24"/>
          <w:szCs w:val="24"/>
        </w:rPr>
        <w:t xml:space="preserve">Avg Engagement: </w:t>
      </w:r>
      <w:r>
        <w:rPr>
          <w:rFonts w:ascii="Times New Roman" w:cs="Times New Roman" w:eastAsia="Times New Roman" w:hAnsi="Times New Roman"/>
          <w:sz w:val="24"/>
          <w:szCs w:val="24"/>
        </w:rPr>
        <w:t xml:space="preserve">AVERAGE(Avg Engagement) — returns 4.0 out of 5.0</w:t>
      </w:r>
    </w:p>
    <w:p>
      <w:pPr>
        <w:spacing w:after="80" w:before="80"/>
        <w:ind w:left="600"/>
      </w:pPr>
      <w:r>
        <w:rPr>
          <w:rFonts w:ascii="Times New Roman" w:cs="Times New Roman" w:eastAsia="Times New Roman" w:hAnsi="Times New Roman"/>
          <w:b/>
          <w:bCs/>
          <w:sz w:val="24"/>
          <w:szCs w:val="24"/>
        </w:rPr>
        <w:t xml:space="preserve">High Risk Count: </w:t>
      </w:r>
      <w:r>
        <w:rPr>
          <w:rFonts w:ascii="Times New Roman" w:cs="Times New Roman" w:eastAsia="Times New Roman" w:hAnsi="Times New Roman"/>
          <w:sz w:val="24"/>
          <w:szCs w:val="24"/>
        </w:rPr>
        <w:t xml:space="preserve">COUNTROWS filtered where Attrition Risk = 'High Risk' — returns 4,742</w:t>
      </w:r>
    </w:p>
    <w:p>
      <w:pPr>
        <w:spacing w:after="80" w:before="80"/>
        <w:ind w:left="600"/>
      </w:pPr>
      <w:r>
        <w:rPr>
          <w:rFonts w:ascii="Times New Roman" w:cs="Times New Roman" w:eastAsia="Times New Roman" w:hAnsi="Times New Roman"/>
          <w:b/>
          <w:bCs/>
          <w:sz w:val="24"/>
          <w:szCs w:val="24"/>
        </w:rPr>
        <w:t xml:space="preserve">Star Employees Count: </w:t>
      </w:r>
      <w:r>
        <w:rPr>
          <w:rFonts w:ascii="Times New Roman" w:cs="Times New Roman" w:eastAsia="Times New Roman" w:hAnsi="Times New Roman"/>
          <w:sz w:val="24"/>
          <w:szCs w:val="24"/>
        </w:rPr>
        <w:t xml:space="preserve">COUNTROWS filtered where Employee Profile = 'Star Employee' — returns 3,998</w:t>
      </w:r>
    </w:p>
    <w:p>
      <w:pPr>
        <w:spacing w:after="80" w:before="80"/>
        <w:ind w:left="600"/>
      </w:pPr>
      <w:r>
        <w:rPr>
          <w:rFonts w:ascii="Times New Roman" w:cs="Times New Roman" w:eastAsia="Times New Roman" w:hAnsi="Times New Roman"/>
          <w:b/>
          <w:bCs/>
          <w:sz w:val="24"/>
          <w:szCs w:val="24"/>
        </w:rPr>
        <w:t xml:space="preserve">Remote Employees: </w:t>
      </w:r>
      <w:r>
        <w:rPr>
          <w:rFonts w:ascii="Times New Roman" w:cs="Times New Roman" w:eastAsia="Times New Roman" w:hAnsi="Times New Roman"/>
          <w:sz w:val="24"/>
          <w:szCs w:val="24"/>
        </w:rPr>
        <w:t xml:space="preserve">COUNTX where Percent_Remote &gt;= 0.8 — returns 7,865</w:t>
      </w:r>
    </w:p>
    <w:p>
      <w:pPr>
        <w:spacing w:after="80" w:before="80"/>
        <w:ind w:left="600"/>
      </w:pPr>
      <w:r>
        <w:rPr>
          <w:rFonts w:ascii="Times New Roman" w:cs="Times New Roman" w:eastAsia="Times New Roman" w:hAnsi="Times New Roman"/>
          <w:b/>
          <w:bCs/>
          <w:sz w:val="24"/>
          <w:szCs w:val="24"/>
        </w:rPr>
        <w:t xml:space="preserve">Onprem Employees: </w:t>
      </w:r>
      <w:r>
        <w:rPr>
          <w:rFonts w:ascii="Times New Roman" w:cs="Times New Roman" w:eastAsia="Times New Roman" w:hAnsi="Times New Roman"/>
          <w:sz w:val="24"/>
          <w:szCs w:val="24"/>
        </w:rPr>
        <w:t xml:space="preserve">COUNTX where Percent_Remote &lt;= 0.4 — returns 6,022</w:t>
      </w:r>
    </w:p>
    <w:p>
      <w:r>
        <w:br w:type="page"/>
      </w:r>
    </w:p>
    <w:p>
      <w:pPr>
        <w:pStyle w:val="Heading1"/>
        <w:pBdr>
          <w:bottom w:val="single" w:color="000000" w:sz="6"/>
        </w:pBdr>
        <w:spacing w:after="200" w:before="500"/>
      </w:pPr>
      <w:r>
        <w:rPr>
          <w:rFonts w:ascii="Times New Roman" w:cs="Times New Roman" w:eastAsia="Times New Roman" w:hAnsi="Times New Roman"/>
          <w:b/>
          <w:bCs/>
          <w:caps/>
          <w:sz w:val="36"/>
          <w:szCs w:val="36"/>
        </w:rPr>
        <w:t xml:space="preserve">IV. Dashboard Architecture</w:t>
      </w:r>
    </w:p>
    <w:p>
      <w:pPr>
        <w:pStyle w:val="Heading2"/>
        <w:spacing w:after="140" w:before="320"/>
      </w:pPr>
      <w:r>
        <w:rPr>
          <w:rFonts w:ascii="Times New Roman" w:cs="Times New Roman" w:eastAsia="Times New Roman" w:hAnsi="Times New Roman"/>
          <w:b/>
          <w:bCs/>
          <w:sz w:val="28"/>
          <w:szCs w:val="28"/>
        </w:rPr>
        <w:t xml:space="preserve">4.1 Design Philosophy</w:t>
      </w:r>
    </w:p>
    <w:p>
      <w:pPr>
        <w:spacing w:after="100" w:before="100"/>
        <w:ind w:firstLine="720"/>
        <w:jc w:val="both"/>
      </w:pPr>
      <w:r>
        <w:rPr>
          <w:rFonts w:ascii="Times New Roman" w:cs="Times New Roman" w:eastAsia="Times New Roman" w:hAnsi="Times New Roman"/>
          <w:sz w:val="24"/>
          <w:szCs w:val="24"/>
        </w:rPr>
        <w:t xml:space="preserve">The dashboard was designed according to the light professional aesthetic, employing a white and light gray background with dark navy text and accent colors that carry semantic meaning. The color system is consistent across all four pages: red is used exclusively for high-risk indicators, amber for medium risk or cautionary findings, and teal for positive or low-risk indicators. Navy blue is used for neutral informational elements.</w:t>
      </w:r>
    </w:p>
    <w:p>
      <w:pPr>
        <w:spacing w:after="100" w:before="100"/>
        <w:ind w:firstLine="720"/>
        <w:jc w:val="both"/>
      </w:pPr>
      <w:r>
        <w:rPr>
          <w:rFonts w:ascii="Times New Roman" w:cs="Times New Roman" w:eastAsia="Times New Roman" w:hAnsi="Times New Roman"/>
          <w:sz w:val="24"/>
          <w:szCs w:val="24"/>
        </w:rPr>
        <w:t xml:space="preserve">The design prioritizes clarity over density. Each page addresses a single analytical theme, allowing the user to develop a deep understanding of one dimension of the workforce before navigating to the next. Visual complexity is managed by ensuring that each visualization answers a specific and explicitly stated business question.</w:t>
      </w:r>
    </w:p>
    <w:p>
      <w:pPr>
        <w:pStyle w:val="Heading2"/>
        <w:spacing w:after="140" w:before="320"/>
      </w:pPr>
      <w:r>
        <w:rPr>
          <w:rFonts w:ascii="Times New Roman" w:cs="Times New Roman" w:eastAsia="Times New Roman" w:hAnsi="Times New Roman"/>
          <w:b/>
          <w:bCs/>
          <w:sz w:val="28"/>
          <w:szCs w:val="28"/>
        </w:rPr>
        <w:t xml:space="preserve">4.2 Navigation System</w:t>
      </w:r>
    </w:p>
    <w:p>
      <w:pPr>
        <w:spacing w:after="100" w:before="100"/>
        <w:ind w:firstLine="720"/>
        <w:jc w:val="both"/>
      </w:pPr>
      <w:r>
        <w:rPr>
          <w:rFonts w:ascii="Times New Roman" w:cs="Times New Roman" w:eastAsia="Times New Roman" w:hAnsi="Times New Roman"/>
          <w:sz w:val="24"/>
          <w:szCs w:val="24"/>
        </w:rPr>
        <w:t xml:space="preserve">Navigation between the four dashboard pages is facilitated by a horizontal Bookmark Navigator positioned at the top right of each page. The navigator contains four labeled buttons corresponding to the four pages: Executive Overview, Talent and Retention, Employee Wellbeing, and Remote vs On-Premise. The active page is distinguished by a dark navy background on its corresponding button, providing clear positional context for the user. Bookmark anchors were configured for each page to ensure reliable navigation in both Edit and Reading modes.</w:t>
      </w:r>
    </w:p>
    <w:p>
      <w:pPr>
        <w:pStyle w:val="Heading2"/>
        <w:spacing w:after="140" w:before="320"/>
      </w:pPr>
      <w:r>
        <w:rPr>
          <w:rFonts w:ascii="Times New Roman" w:cs="Times New Roman" w:eastAsia="Times New Roman" w:hAnsi="Times New Roman"/>
          <w:b/>
          <w:bCs/>
          <w:sz w:val="28"/>
          <w:szCs w:val="28"/>
        </w:rPr>
        <w:t xml:space="preserve">4.3 Filter System</w:t>
      </w:r>
    </w:p>
    <w:p>
      <w:pPr>
        <w:spacing w:after="100" w:before="100"/>
        <w:ind w:firstLine="720"/>
        <w:jc w:val="both"/>
      </w:pPr>
      <w:r>
        <w:rPr>
          <w:rFonts w:ascii="Times New Roman" w:cs="Times New Roman" w:eastAsia="Times New Roman" w:hAnsi="Times New Roman"/>
          <w:sz w:val="24"/>
          <w:szCs w:val="24"/>
        </w:rPr>
        <w:t xml:space="preserve">Two slicers are present on each page of the dashboard: a Department slicer styled as pill-shaped tile buttons, and a Salary slicer with the same styling. These slicers allow users to filter all visualizations on the active page simultaneously, enabling segmented analysis by organizational unit or compensation level. The slicers propagate their selections across all visuals on the page through Power BI's default cross-filtering mechanism.</w:t>
      </w:r>
    </w:p>
    <w:p>
      <w:pPr>
        <w:pStyle w:val="Heading2"/>
        <w:spacing w:after="140" w:before="320"/>
      </w:pPr>
      <w:r>
        <w:rPr>
          <w:rFonts w:ascii="Times New Roman" w:cs="Times New Roman" w:eastAsia="Times New Roman" w:hAnsi="Times New Roman"/>
          <w:b/>
          <w:bCs/>
          <w:sz w:val="28"/>
          <w:szCs w:val="28"/>
        </w:rPr>
        <w:t xml:space="preserve">4.4 Page Structure</w:t>
      </w:r>
    </w:p>
    <w:p>
      <w:pPr>
        <w:spacing w:after="100" w:before="100"/>
        <w:ind w:firstLine="720"/>
        <w:jc w:val="both"/>
      </w:pPr>
      <w:r>
        <w:rPr>
          <w:rFonts w:ascii="Times New Roman" w:cs="Times New Roman" w:eastAsia="Times New Roman" w:hAnsi="Times New Roman"/>
          <w:sz w:val="24"/>
          <w:szCs w:val="24"/>
        </w:rPr>
        <w:t xml:space="preserve">Each dashboard page follows a consistent three-row layout. The top row contains Key Performance Indicator cards that provide immediate numerical context. The middle row contains two to three larger visualizations that explore the primary analytical theme in greater depth. The bottom row contains supporting visualizations that provide additional context or enable comparison. This structure was maintained consistently across all four pages to minimize the cognitive load on the user when navigating between pages.</w:t>
      </w:r>
    </w:p>
    <w:p>
      <w:r>
        <w:br w:type="page"/>
      </w:r>
    </w:p>
    <w:p>
      <w:pPr>
        <w:pStyle w:val="Heading1"/>
        <w:pBdr>
          <w:bottom w:val="single" w:color="000000" w:sz="6"/>
        </w:pBdr>
        <w:spacing w:after="200" w:before="500"/>
      </w:pPr>
      <w:r>
        <w:rPr>
          <w:rFonts w:ascii="Times New Roman" w:cs="Times New Roman" w:eastAsia="Times New Roman" w:hAnsi="Times New Roman"/>
          <w:b/>
          <w:bCs/>
          <w:caps/>
          <w:sz w:val="36"/>
          <w:szCs w:val="36"/>
        </w:rPr>
        <w:t xml:space="preserve">V. Executive Overview — Analysis and Findings</w:t>
      </w:r>
    </w:p>
    <w:p>
      <w:pPr>
        <w:pStyle w:val="Heading2"/>
        <w:spacing w:after="140" w:before="320"/>
      </w:pPr>
      <w:r>
        <w:rPr>
          <w:rFonts w:ascii="Times New Roman" w:cs="Times New Roman" w:eastAsia="Times New Roman" w:hAnsi="Times New Roman"/>
          <w:b/>
          <w:bCs/>
          <w:sz w:val="28"/>
          <w:szCs w:val="28"/>
        </w:rPr>
        <w:t xml:space="preserve">5.1 Purpose of This Page</w:t>
      </w:r>
    </w:p>
    <w:p>
      <w:pPr>
        <w:spacing w:after="100" w:before="100"/>
        <w:ind w:firstLine="720"/>
        <w:jc w:val="both"/>
      </w:pPr>
      <w:r>
        <w:rPr>
          <w:rFonts w:ascii="Times New Roman" w:cs="Times New Roman" w:eastAsia="Times New Roman" w:hAnsi="Times New Roman"/>
          <w:sz w:val="24"/>
          <w:szCs w:val="24"/>
        </w:rPr>
        <w:t xml:space="preserve">The Executive Overview page is designed to serve as the entry point to the dashboard. It provides organizational leaders with a thirty-second snapshot of the workforce's most critical metrics. The page is intentionally kept at a high level of abstraction, presenting aggregate statistics rather than individual-level data, and focusing on metrics that are directly relevant to executive decision-making.</w:t>
      </w:r>
    </w:p>
    <w:p>
      <w:pPr>
        <w:pStyle w:val="Heading2"/>
        <w:spacing w:after="140" w:before="320"/>
      </w:pPr>
      <w:r>
        <w:rPr>
          <w:rFonts w:ascii="Times New Roman" w:cs="Times New Roman" w:eastAsia="Times New Roman" w:hAnsi="Times New Roman"/>
          <w:b/>
          <w:bCs/>
          <w:sz w:val="28"/>
          <w:szCs w:val="28"/>
        </w:rPr>
        <w:t xml:space="preserve">5.2 Key Performance Indicators</w:t>
      </w:r>
    </w:p>
    <w:p>
      <w:pPr>
        <w:spacing w:after="100" w:before="100"/>
        <w:ind w:firstLine="720"/>
        <w:jc w:val="both"/>
      </w:pPr>
      <w:r>
        <w:rPr>
          <w:rFonts w:ascii="Times New Roman" w:cs="Times New Roman" w:eastAsia="Times New Roman" w:hAnsi="Times New Roman"/>
          <w:sz w:val="24"/>
          <w:szCs w:val="24"/>
        </w:rPr>
        <w:t xml:space="preserve">Four KPI cards occupy the top row of the page, each displaying a single numerical metric with a color-coded accent strip indicating its significance:</w:t>
      </w:r>
    </w:p>
    <w:p>
      <w:pPr>
        <w:spacing w:after="100" w:before="100"/>
        <w:ind w:firstLine="720"/>
        <w:jc w:val="both"/>
      </w:pPr>
      <w:r>
        <w:rPr>
          <w:rFonts w:ascii="Times New Roman" w:cs="Times New Roman" w:eastAsia="Times New Roman" w:hAnsi="Times New Roman"/>
          <w:sz w:val="24"/>
          <w:szCs w:val="24"/>
        </w:rPr>
        <w:t xml:space="preserve">Total Employee Count: The organization employs fifteen thousand individuals as represented in the dataset. This figure serves as the denominator for all proportional calculations throughout the dashboard.</w:t>
      </w:r>
    </w:p>
    <w:p>
      <w:pPr>
        <w:spacing w:after="100" w:before="100"/>
        <w:ind w:firstLine="720"/>
        <w:jc w:val="both"/>
      </w:pPr>
      <w:r>
        <w:rPr>
          <w:rFonts w:ascii="Times New Roman" w:cs="Times New Roman" w:eastAsia="Times New Roman" w:hAnsi="Times New Roman"/>
          <w:sz w:val="24"/>
          <w:szCs w:val="24"/>
        </w:rPr>
        <w:t xml:space="preserve">Attrition Rate: Twenty-four percent of the workforce has left the organization. This equates to approximately three thousand five hundred and seventy-one individual departures. The rate is displayed in red to signal its critical nature and is formatted as a percentage for immediate interpretability.</w:t>
      </w:r>
    </w:p>
    <w:p>
      <w:pPr>
        <w:spacing w:after="100" w:before="100"/>
        <w:ind w:firstLine="720"/>
        <w:jc w:val="both"/>
      </w:pPr>
      <w:r>
        <w:rPr>
          <w:rFonts w:ascii="Times New Roman" w:cs="Times New Roman" w:eastAsia="Times New Roman" w:hAnsi="Times New Roman"/>
          <w:sz w:val="24"/>
          <w:szCs w:val="24"/>
        </w:rPr>
        <w:t xml:space="preserve">Average Satisfaction Score: The average on-premise satisfaction score across all employees is three out of five. This score is derived from the average of the five EMP_Sat_Onprem items for each employee, then averaged across the full population. A score of three represents the midpoint of the scale and suggests moderate but not high satisfaction.</w:t>
      </w:r>
    </w:p>
    <w:p>
      <w:pPr>
        <w:spacing w:after="100" w:before="100"/>
        <w:ind w:firstLine="720"/>
        <w:jc w:val="both"/>
      </w:pPr>
      <w:r>
        <w:rPr>
          <w:rFonts w:ascii="Times New Roman" w:cs="Times New Roman" w:eastAsia="Times New Roman" w:hAnsi="Times New Roman"/>
          <w:sz w:val="24"/>
          <w:szCs w:val="24"/>
        </w:rPr>
        <w:t xml:space="preserve">Average Engagement Score: The average engagement score is four out of five, indicating that the workforce is broadly engaged with their work even if satisfaction levels are moderate. This divergence between satisfaction and engagement is analytically significant.</w:t>
      </w:r>
    </w:p>
    <w:p>
      <w:pPr>
        <w:pStyle w:val="Heading2"/>
        <w:spacing w:after="140" w:before="320"/>
      </w:pPr>
      <w:r>
        <w:rPr>
          <w:rFonts w:ascii="Times New Roman" w:cs="Times New Roman" w:eastAsia="Times New Roman" w:hAnsi="Times New Roman"/>
          <w:b/>
          <w:bCs/>
          <w:sz w:val="28"/>
          <w:szCs w:val="28"/>
        </w:rPr>
        <w:t xml:space="preserve">5.3 Attrition Rate by Department</w:t>
      </w:r>
    </w:p>
    <w:p>
      <w:pPr>
        <w:spacing w:after="100" w:before="100"/>
        <w:ind w:firstLine="720"/>
        <w:jc w:val="both"/>
      </w:pPr>
      <w:r>
        <w:rPr>
          <w:rFonts w:ascii="Times New Roman" w:cs="Times New Roman" w:eastAsia="Times New Roman" w:hAnsi="Times New Roman"/>
          <w:sz w:val="24"/>
          <w:szCs w:val="24"/>
        </w:rPr>
        <w:t xml:space="preserve">The attrition rate visualization reveals meaningful variation across the six departments represented in the dataset. Operations exhibits the highest attrition rate, followed by Sales, Human Resources, Finance, IT, and Warehouse, which shows the lowest rate. The variation between the highest and lowest departments, while modest in absolute terms, carries practical significance when translated to headcount. A one-percentage-point difference in attrition rate across a department of two thousand employees represents twenty additional departures per period.</w:t>
      </w:r>
    </w:p>
    <w:p>
      <w:pPr>
        <w:pStyle w:val="Heading2"/>
        <w:spacing w:after="140" w:before="320"/>
      </w:pPr>
      <w:r>
        <w:rPr>
          <w:rFonts w:ascii="Times New Roman" w:cs="Times New Roman" w:eastAsia="Times New Roman" w:hAnsi="Times New Roman"/>
          <w:b/>
          <w:bCs/>
          <w:sz w:val="28"/>
          <w:szCs w:val="28"/>
        </w:rPr>
        <w:t xml:space="preserve">5.4 Attrition Risk Distribution</w:t>
      </w:r>
    </w:p>
    <w:p>
      <w:pPr>
        <w:spacing w:after="100" w:before="100"/>
        <w:ind w:firstLine="720"/>
        <w:jc w:val="both"/>
      </w:pPr>
      <w:r>
        <w:rPr>
          <w:rFonts w:ascii="Times New Roman" w:cs="Times New Roman" w:eastAsia="Times New Roman" w:hAnsi="Times New Roman"/>
          <w:sz w:val="24"/>
          <w:szCs w:val="24"/>
        </w:rPr>
        <w:t xml:space="preserve">The donut chart displaying attrition risk distribution reveals that thirty-eight point twenty-seven percent of the workforce falls into the Low Risk category, thirty-one point sixty-two percent into the Medium Risk category, and thirty point twelve percent into the High Risk category. The near-equal distribution across the three categories suggests that the organization does not have a small isolated problem with attrition; rather, it faces a pervasive challenge that affects a substantial proportion of its workforce.</w:t>
      </w:r>
    </w:p>
    <w:p>
      <w:pPr>
        <w:pStyle w:val="Heading2"/>
        <w:spacing w:after="140" w:before="320"/>
      </w:pPr>
      <w:r>
        <w:rPr>
          <w:rFonts w:ascii="Times New Roman" w:cs="Times New Roman" w:eastAsia="Times New Roman" w:hAnsi="Times New Roman"/>
          <w:b/>
          <w:bCs/>
          <w:sz w:val="28"/>
          <w:szCs w:val="28"/>
        </w:rPr>
        <w:t xml:space="preserve">5.5 Workforce Composition</w:t>
      </w:r>
    </w:p>
    <w:p>
      <w:pPr>
        <w:spacing w:after="100" w:before="100"/>
        <w:ind w:firstLine="720"/>
        <w:jc w:val="both"/>
      </w:pPr>
      <w:r>
        <w:rPr>
          <w:rFonts w:ascii="Times New Roman" w:cs="Times New Roman" w:eastAsia="Times New Roman" w:hAnsi="Times New Roman"/>
          <w:sz w:val="24"/>
          <w:szCs w:val="24"/>
        </w:rPr>
        <w:t xml:space="preserve">Gender distribution across the organization is essentially equal, with fifty point sixty-four percent of employees identifying as male and forty-nine point thirty-six percent as female. This near-parity is a notable organizational characteristic and suggests that gender representation programs, if they existed, have been effective.</w:t>
      </w:r>
    </w:p>
    <w:p>
      <w:pPr>
        <w:spacing w:after="100" w:before="100"/>
        <w:ind w:firstLine="720"/>
        <w:jc w:val="both"/>
      </w:pPr>
      <w:r>
        <w:rPr>
          <w:rFonts w:ascii="Times New Roman" w:cs="Times New Roman" w:eastAsia="Times New Roman" w:hAnsi="Times New Roman"/>
          <w:sz w:val="24"/>
          <w:szCs w:val="24"/>
        </w:rPr>
        <w:t xml:space="preserve">The salary distribution reveals that the medium salary band is the largest, containing approximately six thousand four hundred employees or forty-three percent of the total workforce. The low salary band is the second largest group. The high salary band, containing approximately one thousand two hundred employees, represents the smallest proportion.</w:t>
      </w:r>
    </w:p>
    <w:p>
      <w:pPr>
        <w:spacing w:after="100" w:before="100"/>
        <w:ind w:firstLine="720"/>
        <w:jc w:val="both"/>
      </w:pPr>
      <w:r>
        <w:rPr>
          <w:rFonts w:ascii="Times New Roman" w:cs="Times New Roman" w:eastAsia="Times New Roman" w:hAnsi="Times New Roman"/>
          <w:sz w:val="24"/>
          <w:szCs w:val="24"/>
        </w:rPr>
        <w:t xml:space="preserve">The geographic analysis shows that the United Kingdom hosts the largest employee population, with approximately two thousand employees, followed by France, South Korea, Japan, China, and Colombia. This concentration in the United Kingdom represents a geographic dependency risk.</w:t>
      </w:r>
    </w:p>
    <w:p>
      <w:r>
        <w:br w:type="page"/>
      </w:r>
    </w:p>
    <w:p>
      <w:pPr>
        <w:pStyle w:val="Heading1"/>
        <w:pBdr>
          <w:bottom w:val="single" w:color="000000" w:sz="6"/>
        </w:pBdr>
        <w:spacing w:after="200" w:before="500"/>
      </w:pPr>
      <w:r>
        <w:rPr>
          <w:rFonts w:ascii="Times New Roman" w:cs="Times New Roman" w:eastAsia="Times New Roman" w:hAnsi="Times New Roman"/>
          <w:b/>
          <w:bCs/>
          <w:caps/>
          <w:sz w:val="36"/>
          <w:szCs w:val="36"/>
        </w:rPr>
        <w:t xml:space="preserve">VI. Talent and Retention — Analysis and Findings</w:t>
      </w:r>
    </w:p>
    <w:p>
      <w:pPr>
        <w:pStyle w:val="Heading2"/>
        <w:spacing w:after="140" w:before="320"/>
      </w:pPr>
      <w:r>
        <w:rPr>
          <w:rFonts w:ascii="Times New Roman" w:cs="Times New Roman" w:eastAsia="Times New Roman" w:hAnsi="Times New Roman"/>
          <w:b/>
          <w:bCs/>
          <w:sz w:val="28"/>
          <w:szCs w:val="28"/>
        </w:rPr>
        <w:t xml:space="preserve">6.1 Purpose of This Page</w:t>
      </w:r>
    </w:p>
    <w:p>
      <w:pPr>
        <w:spacing w:after="100" w:before="100"/>
        <w:ind w:firstLine="720"/>
        <w:jc w:val="both"/>
      </w:pPr>
      <w:r>
        <w:rPr>
          <w:rFonts w:ascii="Times New Roman" w:cs="Times New Roman" w:eastAsia="Times New Roman" w:hAnsi="Times New Roman"/>
          <w:sz w:val="24"/>
          <w:szCs w:val="24"/>
        </w:rPr>
        <w:t xml:space="preserve">The Talent and Retention page represents the analytical core of the dashboard. It is designed to answer the question that HR leadership most urgently needs to address: which employees are at risk of leaving, and which employees must be retained at all costs? The page operates at the level of employee classification and risk segmentation rather than aggregate statistics.</w:t>
      </w:r>
    </w:p>
    <w:p>
      <w:pPr>
        <w:pStyle w:val="Heading2"/>
        <w:spacing w:after="140" w:before="320"/>
      </w:pPr>
      <w:r>
        <w:rPr>
          <w:rFonts w:ascii="Times New Roman" w:cs="Times New Roman" w:eastAsia="Times New Roman" w:hAnsi="Times New Roman"/>
          <w:b/>
          <w:bCs/>
          <w:sz w:val="28"/>
          <w:szCs w:val="28"/>
        </w:rPr>
        <w:t xml:space="preserve">6.2 Risk Classification Results</w:t>
      </w:r>
    </w:p>
    <w:p>
      <w:pPr>
        <w:spacing w:after="100" w:before="100"/>
        <w:ind w:firstLine="720"/>
        <w:jc w:val="both"/>
      </w:pPr>
      <w:r>
        <w:rPr>
          <w:rFonts w:ascii="Times New Roman" w:cs="Times New Roman" w:eastAsia="Times New Roman" w:hAnsi="Times New Roman"/>
          <w:sz w:val="24"/>
          <w:szCs w:val="24"/>
        </w:rPr>
        <w:t xml:space="preserve">The Attrition Risk classification scheme, described in the methodology section, produces three distinct employee populations. Four thousand seven hundred and forty-two employees are classified as High Risk, representing thirty-one point six percent of the total workforce. Four thousand five hundred employees are classified as Medium Risk, representing thirty percent of the workforce. Five thousand seven hundred and fifty-eight employees are classified as Low Risk, representing thirty-eight point four percent of the workforce.</w:t>
      </w:r>
    </w:p>
    <w:p>
      <w:pPr>
        <w:spacing w:after="100" w:before="100"/>
        <w:ind w:firstLine="720"/>
        <w:jc w:val="both"/>
      </w:pPr>
      <w:r>
        <w:rPr>
          <w:rFonts w:ascii="Times New Roman" w:cs="Times New Roman" w:eastAsia="Times New Roman" w:hAnsi="Times New Roman"/>
          <w:sz w:val="24"/>
          <w:szCs w:val="24"/>
        </w:rPr>
        <w:t xml:space="preserve">The High Risk classification is based on performance evaluation scores below 0.60, which in the observed data constitutes a meaningful threshold separating employees whose performance trajectory suggests disengagement from those who remain productive contributors. The concentration of thirty-one point six percent of the workforce in the High Risk category represents a significant organizational exposure.</w:t>
      </w:r>
    </w:p>
    <w:p>
      <w:pPr>
        <w:pStyle w:val="Heading2"/>
        <w:spacing w:after="140" w:before="320"/>
      </w:pPr>
      <w:r>
        <w:rPr>
          <w:rFonts w:ascii="Times New Roman" w:cs="Times New Roman" w:eastAsia="Times New Roman" w:hAnsi="Times New Roman"/>
          <w:b/>
          <w:bCs/>
          <w:sz w:val="28"/>
          <w:szCs w:val="28"/>
        </w:rPr>
        <w:t xml:space="preserve">6.3 Employee Profile Distribution</w:t>
      </w:r>
    </w:p>
    <w:p>
      <w:pPr>
        <w:spacing w:after="100" w:before="100"/>
        <w:ind w:firstLine="720"/>
        <w:jc w:val="both"/>
      </w:pPr>
      <w:r>
        <w:rPr>
          <w:rFonts w:ascii="Times New Roman" w:cs="Times New Roman" w:eastAsia="Times New Roman" w:hAnsi="Times New Roman"/>
          <w:sz w:val="24"/>
          <w:szCs w:val="24"/>
        </w:rPr>
        <w:t xml:space="preserve">The Employee Profile classification generates three groups that reflect the intersection of performance and engagement. Three thousand nine hundred and ninety-eight employees are classified as Star Employees, representing twenty-six point seven percent of the workforce. These individuals combine high performance evaluation scores with high engagement scores and represent the organization's most critical human capital assets.</w:t>
      </w:r>
    </w:p>
    <w:p>
      <w:pPr>
        <w:spacing w:after="100" w:before="100"/>
        <w:ind w:firstLine="720"/>
        <w:jc w:val="both"/>
      </w:pPr>
      <w:r>
        <w:rPr>
          <w:rFonts w:ascii="Times New Roman" w:cs="Times New Roman" w:eastAsia="Times New Roman" w:hAnsi="Times New Roman"/>
          <w:sz w:val="24"/>
          <w:szCs w:val="24"/>
        </w:rPr>
        <w:t xml:space="preserve">Seven thousand four hundred and thirty-six employees are classified as Solid Employees, representing forty-nine point six percent of the workforce. This group forms the operational backbone of the organization. Their engagement and performance, while not at the highest level, are sufficient to sustain organizational functioning.</w:t>
      </w:r>
    </w:p>
    <w:p>
      <w:pPr>
        <w:spacing w:after="100" w:before="100"/>
        <w:ind w:firstLine="720"/>
        <w:jc w:val="both"/>
      </w:pPr>
      <w:r>
        <w:rPr>
          <w:rFonts w:ascii="Times New Roman" w:cs="Times New Roman" w:eastAsia="Times New Roman" w:hAnsi="Times New Roman"/>
          <w:sz w:val="24"/>
          <w:szCs w:val="24"/>
        </w:rPr>
        <w:t xml:space="preserve">Three thousand five hundred and sixty-six employees are classified as Needs Attention, representing twenty-three point eight percent of the workforce. These individuals show either low performance, low engagement, or both. Without targeted intervention, a proportion of this group is likely to transition into the High Risk attrition category.</w:t>
      </w:r>
    </w:p>
    <w:p>
      <w:pPr>
        <w:pStyle w:val="Heading2"/>
        <w:spacing w:after="140" w:before="320"/>
      </w:pPr>
      <w:r>
        <w:rPr>
          <w:rFonts w:ascii="Times New Roman" w:cs="Times New Roman" w:eastAsia="Times New Roman" w:hAnsi="Times New Roman"/>
          <w:b/>
          <w:bCs/>
          <w:sz w:val="28"/>
          <w:szCs w:val="28"/>
        </w:rPr>
        <w:t xml:space="preserve">6.4 Performance and Engagement Relationship</w:t>
      </w:r>
    </w:p>
    <w:p>
      <w:pPr>
        <w:spacing w:after="100" w:before="100"/>
        <w:ind w:firstLine="720"/>
        <w:jc w:val="both"/>
      </w:pPr>
      <w:r>
        <w:rPr>
          <w:rFonts w:ascii="Times New Roman" w:cs="Times New Roman" w:eastAsia="Times New Roman" w:hAnsi="Times New Roman"/>
          <w:sz w:val="24"/>
          <w:szCs w:val="24"/>
        </w:rPr>
        <w:t xml:space="preserve">The scatter plot visualization of last_evaluation against Avg Engagement, colored by Attrition Risk classification, reveals a clear spatial separation of the three risk groups. High Risk employees cluster in the lower left quadrant of the plot, characterized by performance scores between 0.36 and 0.59 and engagement scores between 2.0 and 3.5. Medium Risk employees occupy the middle region of the plot. Low Risk employees cluster in the upper right quadrant, with performance scores of 0.80 and above and engagement scores of 3.5 and above.</w:t>
      </w:r>
    </w:p>
    <w:p>
      <w:pPr>
        <w:spacing w:after="100" w:before="100"/>
        <w:ind w:firstLine="720"/>
        <w:jc w:val="both"/>
      </w:pPr>
      <w:r>
        <w:rPr>
          <w:rFonts w:ascii="Times New Roman" w:cs="Times New Roman" w:eastAsia="Times New Roman" w:hAnsi="Times New Roman"/>
          <w:sz w:val="24"/>
          <w:szCs w:val="24"/>
        </w:rPr>
        <w:t xml:space="preserve">This spatial pattern validates the face validity of the Attrition Risk classification scheme. The separation of the three groups demonstrates that performance and engagement are both contributing factors to attrition risk, and that their joint consideration produces a more discriminating classification than either variable alone.</w:t>
      </w:r>
    </w:p>
    <w:p>
      <w:pPr>
        <w:pStyle w:val="Heading2"/>
        <w:spacing w:after="140" w:before="320"/>
      </w:pPr>
      <w:r>
        <w:rPr>
          <w:rFonts w:ascii="Times New Roman" w:cs="Times New Roman" w:eastAsia="Times New Roman" w:hAnsi="Times New Roman"/>
          <w:b/>
          <w:bCs/>
          <w:sz w:val="28"/>
          <w:szCs w:val="28"/>
        </w:rPr>
        <w:t xml:space="preserve">6.5 LinkedIn Activity as a Leading Indicator</w:t>
      </w:r>
    </w:p>
    <w:p>
      <w:pPr>
        <w:spacing w:after="100" w:before="100"/>
        <w:ind w:firstLine="720"/>
        <w:jc w:val="both"/>
      </w:pPr>
      <w:r>
        <w:rPr>
          <w:rFonts w:ascii="Times New Roman" w:cs="Times New Roman" w:eastAsia="Times New Roman" w:hAnsi="Times New Roman"/>
          <w:sz w:val="24"/>
          <w:szCs w:val="24"/>
        </w:rPr>
        <w:t xml:space="preserve">The average LinkedIn Hits value across the dataset is nineteen per month. In the high-risk employee watchlist table, filtered to display only High Risk employees sorted by LinkedIn activity in descending order, the highest-activity employees show values approaching or exceeding sixty-five hits per month. This level of profile activity is consistent with active passive job searching behavior and represents a measurable signal of departure intent that precedes formal resignation.</w:t>
      </w:r>
    </w:p>
    <w:p>
      <w:pPr>
        <w:spacing w:after="100" w:before="100"/>
        <w:ind w:firstLine="720"/>
        <w:jc w:val="both"/>
      </w:pPr>
      <w:r>
        <w:rPr>
          <w:rFonts w:ascii="Times New Roman" w:cs="Times New Roman" w:eastAsia="Times New Roman" w:hAnsi="Times New Roman"/>
          <w:sz w:val="24"/>
          <w:szCs w:val="24"/>
        </w:rPr>
        <w:t xml:space="preserve">Unlike exit interviews, which provide information only after the departure decision has been made and acted upon, LinkedIn activity provides a leading indicator that can be monitored in near-real-time. Employees exceeding the High Risk threshold of forty-five hits per month should be flagged for proactive manager engagement.</w:t>
      </w:r>
    </w:p>
    <w:p>
      <w:pPr>
        <w:pStyle w:val="Heading2"/>
        <w:spacing w:after="140" w:before="320"/>
      </w:pPr>
      <w:r>
        <w:rPr>
          <w:rFonts w:ascii="Times New Roman" w:cs="Times New Roman" w:eastAsia="Times New Roman" w:hAnsi="Times New Roman"/>
          <w:b/>
          <w:bCs/>
          <w:sz w:val="28"/>
          <w:szCs w:val="28"/>
        </w:rPr>
        <w:t xml:space="preserve">6.6 Attrition Risk by Department</w:t>
      </w:r>
    </w:p>
    <w:p>
      <w:pPr>
        <w:spacing w:after="100" w:before="100"/>
        <w:ind w:firstLine="720"/>
        <w:jc w:val="both"/>
      </w:pPr>
      <w:r>
        <w:rPr>
          <w:rFonts w:ascii="Times New Roman" w:cs="Times New Roman" w:eastAsia="Times New Roman" w:hAnsi="Times New Roman"/>
          <w:sz w:val="24"/>
          <w:szCs w:val="24"/>
        </w:rPr>
        <w:t xml:space="preserve">The stacked bar chart of attrition risk by department reveals that all six departments contain roughly proportional distributions of High, Medium, and Low Risk employees. The Finance and Operations departments show slightly higher concentrations of High Risk employees in absolute terms due to their larger overall headcount. The Warehouse department shows the lowest absolute concentration of High Risk employees, consistent with its lower overall attrition rate observed on the Executive Overview page.</w:t>
      </w:r>
    </w:p>
    <w:p>
      <w:r>
        <w:br w:type="page"/>
      </w:r>
    </w:p>
    <w:p>
      <w:pPr>
        <w:pStyle w:val="Heading1"/>
        <w:pBdr>
          <w:bottom w:val="single" w:color="000000" w:sz="6"/>
        </w:pBdr>
        <w:spacing w:after="200" w:before="500"/>
      </w:pPr>
      <w:r>
        <w:rPr>
          <w:rFonts w:ascii="Times New Roman" w:cs="Times New Roman" w:eastAsia="Times New Roman" w:hAnsi="Times New Roman"/>
          <w:b/>
          <w:bCs/>
          <w:caps/>
          <w:sz w:val="36"/>
          <w:szCs w:val="36"/>
        </w:rPr>
        <w:t xml:space="preserve">VII. Employee Wellbeing — Analysis and Findings</w:t>
      </w:r>
    </w:p>
    <w:p>
      <w:pPr>
        <w:pStyle w:val="Heading2"/>
        <w:spacing w:after="140" w:before="320"/>
      </w:pPr>
      <w:r>
        <w:rPr>
          <w:rFonts w:ascii="Times New Roman" w:cs="Times New Roman" w:eastAsia="Times New Roman" w:hAnsi="Times New Roman"/>
          <w:b/>
          <w:bCs/>
          <w:sz w:val="28"/>
          <w:szCs w:val="28"/>
        </w:rPr>
        <w:t xml:space="preserve">7.1 Purpose of This Page</w:t>
      </w:r>
    </w:p>
    <w:p>
      <w:pPr>
        <w:spacing w:after="100" w:before="100"/>
        <w:ind w:firstLine="720"/>
        <w:jc w:val="both"/>
      </w:pPr>
      <w:r>
        <w:rPr>
          <w:rFonts w:ascii="Times New Roman" w:cs="Times New Roman" w:eastAsia="Times New Roman" w:hAnsi="Times New Roman"/>
          <w:sz w:val="24"/>
          <w:szCs w:val="24"/>
        </w:rPr>
        <w:t xml:space="preserve">The Employee Wellbeing page examines the physical and psychological health of the workforce using a combination of traditional HR metrics and sensor-derived physiological data. This page is particularly noteworthy because the inclusion of sensor data represents an innovative approach to HR analytics that is rarely seen in conventional portfolio projects. The sensor data provides an additional dimension of evidence that complements and contextualizes the behavioral and attitudinal data captured elsewhere in the dataset.</w:t>
      </w:r>
    </w:p>
    <w:p>
      <w:pPr>
        <w:pStyle w:val="Heading2"/>
        <w:spacing w:after="140" w:before="320"/>
      </w:pPr>
      <w:r>
        <w:rPr>
          <w:rFonts w:ascii="Times New Roman" w:cs="Times New Roman" w:eastAsia="Times New Roman" w:hAnsi="Times New Roman"/>
          <w:b/>
          <w:bCs/>
          <w:sz w:val="28"/>
          <w:szCs w:val="28"/>
        </w:rPr>
        <w:t xml:space="preserve">7.2 Sensor Data Overview</w:t>
      </w:r>
    </w:p>
    <w:p>
      <w:pPr>
        <w:spacing w:after="100" w:before="100"/>
        <w:ind w:firstLine="720"/>
        <w:jc w:val="both"/>
      </w:pPr>
      <w:r>
        <w:rPr>
          <w:rFonts w:ascii="Times New Roman" w:cs="Times New Roman" w:eastAsia="Times New Roman" w:hAnsi="Times New Roman"/>
          <w:sz w:val="24"/>
          <w:szCs w:val="24"/>
        </w:rPr>
        <w:t xml:space="preserve">The three sensor-derived KPI cards present population-level averages for step count, heart rate, and proximity. The average daily step count of three thousand steps per employee per day is below the widely cited recommendation of ten thousand steps per day, suggesting that many employees in this organization have relatively sedentary working conditions. This is consistent with the large proportion of office-based and remote knowledge workers.</w:t>
      </w:r>
    </w:p>
    <w:p>
      <w:pPr>
        <w:spacing w:after="100" w:before="100"/>
        <w:ind w:firstLine="720"/>
        <w:jc w:val="both"/>
      </w:pPr>
      <w:r>
        <w:rPr>
          <w:rFonts w:ascii="Times New Roman" w:cs="Times New Roman" w:eastAsia="Times New Roman" w:hAnsi="Times New Roman"/>
          <w:sz w:val="24"/>
          <w:szCs w:val="24"/>
        </w:rPr>
        <w:t xml:space="preserve">The average heart rate of seventy-eight beats per minute falls comfortably within the healthy resting range of sixty to one hundred beats per minute. This aggregate figure indicates that the workforce is not, at the population level, experiencing acute physiological stress. However, as the department-level analysis reveals, there is meaningful variation around this average.</w:t>
      </w:r>
    </w:p>
    <w:p>
      <w:pPr>
        <w:spacing w:after="100" w:before="100"/>
        <w:ind w:firstLine="720"/>
        <w:jc w:val="both"/>
      </w:pPr>
      <w:r>
        <w:rPr>
          <w:rFonts w:ascii="Times New Roman" w:cs="Times New Roman" w:eastAsia="Times New Roman" w:hAnsi="Times New Roman"/>
          <w:sz w:val="24"/>
          <w:szCs w:val="24"/>
        </w:rPr>
        <w:t xml:space="preserve">The average proximity score of six point forty on the ten-point scale indicates moderate physical distance between colleagues. Given the scale's directionality, where one represents the highest proximity and ten the greatest isolation, a score of six point forty places the average employee in the moderately isolated range.</w:t>
      </w:r>
    </w:p>
    <w:p>
      <w:pPr>
        <w:pStyle w:val="Heading2"/>
        <w:spacing w:after="140" w:before="320"/>
      </w:pPr>
      <w:r>
        <w:rPr>
          <w:rFonts w:ascii="Times New Roman" w:cs="Times New Roman" w:eastAsia="Times New Roman" w:hAnsi="Times New Roman"/>
          <w:b/>
          <w:bCs/>
          <w:sz w:val="28"/>
          <w:szCs w:val="28"/>
        </w:rPr>
        <w:t xml:space="preserve">7.3 Heart Rate Variation by Department</w:t>
      </w:r>
    </w:p>
    <w:p>
      <w:pPr>
        <w:spacing w:after="100" w:before="100"/>
        <w:ind w:firstLine="720"/>
        <w:jc w:val="both"/>
      </w:pPr>
      <w:r>
        <w:rPr>
          <w:rFonts w:ascii="Times New Roman" w:cs="Times New Roman" w:eastAsia="Times New Roman" w:hAnsi="Times New Roman"/>
          <w:sz w:val="24"/>
          <w:szCs w:val="24"/>
        </w:rPr>
        <w:t xml:space="preserve">The line chart of average heart rate by department reveals variation between approximately seventy-seven point eight and seventy-eight point zero beats per minute across the six departments. Finance employees exhibit the highest average heart rate at seventy-eight point zero, while Warehouse employees exhibit the lowest at seventy-seven point eight. Although the absolute difference is small, the Finance department's elevated reading may reflect the deadline-driven, high-accountability nature of financial roles.</w:t>
      </w:r>
    </w:p>
    <w:p>
      <w:pPr>
        <w:pStyle w:val="Heading2"/>
        <w:spacing w:after="140" w:before="320"/>
      </w:pPr>
      <w:r>
        <w:rPr>
          <w:rFonts w:ascii="Times New Roman" w:cs="Times New Roman" w:eastAsia="Times New Roman" w:hAnsi="Times New Roman"/>
          <w:b/>
          <w:bCs/>
          <w:sz w:val="28"/>
          <w:szCs w:val="28"/>
        </w:rPr>
        <w:t xml:space="preserve">7.4 Proximity Variation by Department</w:t>
      </w:r>
    </w:p>
    <w:p>
      <w:pPr>
        <w:spacing w:after="100" w:before="100"/>
        <w:ind w:firstLine="720"/>
        <w:jc w:val="both"/>
      </w:pPr>
      <w:r>
        <w:rPr>
          <w:rFonts w:ascii="Times New Roman" w:cs="Times New Roman" w:eastAsia="Times New Roman" w:hAnsi="Times New Roman"/>
          <w:sz w:val="24"/>
          <w:szCs w:val="24"/>
        </w:rPr>
        <w:t xml:space="preserve">The proximity analysis reveals that Warehouse employees experience the highest physical isolation, with an average score of six point four two four, while Finance employees experience the greatest proximity to colleagues, with a score of six point three eight. Operations, Sales, IT, and Human Resources fall between these extremes. The pattern is broadly consistent with the physical nature of each department's work: warehouse roles typically involve independent task execution in large physical spaces, while finance roles often involve close collaboration in shared office environments.</w:t>
      </w:r>
    </w:p>
    <w:p>
      <w:pPr>
        <w:pStyle w:val="Heading2"/>
        <w:spacing w:after="140" w:before="320"/>
      </w:pPr>
      <w:r>
        <w:rPr>
          <w:rFonts w:ascii="Times New Roman" w:cs="Times New Roman" w:eastAsia="Times New Roman" w:hAnsi="Times New Roman"/>
          <w:b/>
          <w:bCs/>
          <w:sz w:val="28"/>
          <w:szCs w:val="28"/>
        </w:rPr>
        <w:t xml:space="preserve">7.5 Work Accident Analysis</w:t>
      </w:r>
    </w:p>
    <w:p>
      <w:pPr>
        <w:spacing w:after="100" w:before="100"/>
        <w:ind w:firstLine="720"/>
        <w:jc w:val="both"/>
      </w:pPr>
      <w:r>
        <w:rPr>
          <w:rFonts w:ascii="Times New Roman" w:cs="Times New Roman" w:eastAsia="Times New Roman" w:hAnsi="Times New Roman"/>
          <w:sz w:val="24"/>
          <w:szCs w:val="24"/>
        </w:rPr>
        <w:t xml:space="preserve">Two thousand one hundred and seventy employees, representing fourteen point forty-six percent of the workforce, have experienced a work accident. This figure is substantial and carries implications beyond the immediate safety context. Analysis reveals that employees who have experienced work accidents exhibit an eighteen percent higher attrition rate than those who have not. This correlation suggests that work accidents create a compounding retention risk: the incident itself may damage the employee's trust in the organization, reduce their physical capacity to perform their role, or create psychological barriers to continued employment.</w:t>
      </w:r>
    </w:p>
    <w:p>
      <w:pPr>
        <w:pStyle w:val="Heading2"/>
        <w:spacing w:after="140" w:before="320"/>
      </w:pPr>
      <w:r>
        <w:rPr>
          <w:rFonts w:ascii="Times New Roman" w:cs="Times New Roman" w:eastAsia="Times New Roman" w:hAnsi="Times New Roman"/>
          <w:b/>
          <w:bCs/>
          <w:sz w:val="28"/>
          <w:szCs w:val="28"/>
        </w:rPr>
        <w:t xml:space="preserve">7.6 Wellbeing and Performance Correlation</w:t>
      </w:r>
    </w:p>
    <w:p>
      <w:pPr>
        <w:spacing w:after="100" w:before="100"/>
        <w:ind w:firstLine="720"/>
        <w:jc w:val="both"/>
      </w:pPr>
      <w:r>
        <w:rPr>
          <w:rFonts w:ascii="Times New Roman" w:cs="Times New Roman" w:eastAsia="Times New Roman" w:hAnsi="Times New Roman"/>
          <w:sz w:val="24"/>
          <w:szCs w:val="24"/>
        </w:rPr>
        <w:t xml:space="preserve">The scatter plot of Wellbeing Score against last_evaluation, colored by department, reveals a positive correlation between the two variables. Employees with higher performance scores tend to cluster in the upper range of the wellbeing score distribution, while employees with lower performance scores tend to cluster in the lower range. This finding is consistent with a body of occupational psychology literature suggesting that employee wellbeing and job performance are mutually reinforcing: healthy, engaged employees perform better, and high-performing employees tend to experience greater psychological satisfaction from their work.</w:t>
      </w:r>
    </w:p>
    <w:p>
      <w:r>
        <w:br w:type="page"/>
      </w:r>
    </w:p>
    <w:p>
      <w:pPr>
        <w:pStyle w:val="Heading1"/>
        <w:pBdr>
          <w:bottom w:val="single" w:color="000000" w:sz="6"/>
        </w:pBdr>
        <w:spacing w:after="200" w:before="500"/>
      </w:pPr>
      <w:r>
        <w:rPr>
          <w:rFonts w:ascii="Times New Roman" w:cs="Times New Roman" w:eastAsia="Times New Roman" w:hAnsi="Times New Roman"/>
          <w:b/>
          <w:bCs/>
          <w:caps/>
          <w:sz w:val="36"/>
          <w:szCs w:val="36"/>
        </w:rPr>
        <w:t xml:space="preserve">VIII. Remote vs On-Premise — Analysis and Findings</w:t>
      </w:r>
    </w:p>
    <w:p>
      <w:pPr>
        <w:pStyle w:val="Heading2"/>
        <w:spacing w:after="140" w:before="320"/>
      </w:pPr>
      <w:r>
        <w:rPr>
          <w:rFonts w:ascii="Times New Roman" w:cs="Times New Roman" w:eastAsia="Times New Roman" w:hAnsi="Times New Roman"/>
          <w:b/>
          <w:bCs/>
          <w:sz w:val="28"/>
          <w:szCs w:val="28"/>
        </w:rPr>
        <w:t xml:space="preserve">8.1 Purpose of This Page</w:t>
      </w:r>
    </w:p>
    <w:p>
      <w:pPr>
        <w:spacing w:after="100" w:before="100"/>
        <w:ind w:firstLine="720"/>
        <w:jc w:val="both"/>
      </w:pPr>
      <w:r>
        <w:rPr>
          <w:rFonts w:ascii="Times New Roman" w:cs="Times New Roman" w:eastAsia="Times New Roman" w:hAnsi="Times New Roman"/>
          <w:sz w:val="24"/>
          <w:szCs w:val="24"/>
        </w:rPr>
        <w:t xml:space="preserve">The Remote vs On-Premise page addresses one of the most consequential debates in contemporary workforce management: does remote work enhance or diminish employee satisfaction, performance, and organizational outcomes? The data in this dataset provides clear and, in several respects, counterintuitive answers to this question.</w:t>
      </w:r>
    </w:p>
    <w:p>
      <w:pPr>
        <w:pStyle w:val="Heading2"/>
        <w:spacing w:after="140" w:before="320"/>
      </w:pPr>
      <w:r>
        <w:rPr>
          <w:rFonts w:ascii="Times New Roman" w:cs="Times New Roman" w:eastAsia="Times New Roman" w:hAnsi="Times New Roman"/>
          <w:b/>
          <w:bCs/>
          <w:sz w:val="28"/>
          <w:szCs w:val="28"/>
        </w:rPr>
        <w:t xml:space="preserve">8.2 Workforce Distribution by Work Arrangement</w:t>
      </w:r>
    </w:p>
    <w:p>
      <w:pPr>
        <w:spacing w:after="100" w:before="100"/>
        <w:ind w:firstLine="720"/>
        <w:jc w:val="both"/>
      </w:pPr>
      <w:r>
        <w:rPr>
          <w:rFonts w:ascii="Times New Roman" w:cs="Times New Roman" w:eastAsia="Times New Roman" w:hAnsi="Times New Roman"/>
          <w:sz w:val="24"/>
          <w:szCs w:val="24"/>
        </w:rPr>
        <w:t xml:space="preserve">The workforce is distributed across four work arrangements defined by the Percent_Remote column. The largest group, comprising seven thousand eight hundred and sixty-five employees or fifty-two point thirty-six percent of the total workforce, works fully remotely. The second largest group, comprising six thousand and twenty-two employees or forty point fifteen percent of the workforce, works primarily on-premise with forty percent of their time spent remotely. One thousand one hundred and thirteen employees, representing seven point forty-one percent of the workforce, work in a balanced hybrid arrangement. A small additional group works in a mostly-remote arrangement with eighty percent of their time spent remotely.</w:t>
      </w:r>
    </w:p>
    <w:p>
      <w:pPr>
        <w:pStyle w:val="Heading2"/>
        <w:spacing w:after="140" w:before="320"/>
      </w:pPr>
      <w:r>
        <w:rPr>
          <w:rFonts w:ascii="Times New Roman" w:cs="Times New Roman" w:eastAsia="Times New Roman" w:hAnsi="Times New Roman"/>
          <w:b/>
          <w:bCs/>
          <w:sz w:val="28"/>
          <w:szCs w:val="28"/>
        </w:rPr>
        <w:t xml:space="preserve">8.3 Satisfaction Comparison</w:t>
      </w:r>
    </w:p>
    <w:p>
      <w:pPr>
        <w:spacing w:after="100" w:before="100"/>
        <w:ind w:firstLine="720"/>
        <w:jc w:val="both"/>
      </w:pPr>
      <w:r>
        <w:rPr>
          <w:rFonts w:ascii="Times New Roman" w:cs="Times New Roman" w:eastAsia="Times New Roman" w:hAnsi="Times New Roman"/>
          <w:sz w:val="24"/>
          <w:szCs w:val="24"/>
        </w:rPr>
        <w:t xml:space="preserve">The comparative analysis of satisfaction scores by work arrangement reveals that remote employees report a meaningfully higher average satisfaction score than their on-premise counterparts. Remote employees report an average satisfaction score of four out of five, while on-premise employees report an average of three out of five. This one-point differential is substantively meaningful on a five-point scale and represents a twenty percent difference relative to the scale range.</w:t>
      </w:r>
    </w:p>
    <w:p>
      <w:pPr>
        <w:spacing w:after="100" w:before="100"/>
        <w:ind w:firstLine="720"/>
        <w:jc w:val="both"/>
      </w:pPr>
      <w:r>
        <w:rPr>
          <w:rFonts w:ascii="Times New Roman" w:cs="Times New Roman" w:eastAsia="Times New Roman" w:hAnsi="Times New Roman"/>
          <w:sz w:val="24"/>
          <w:szCs w:val="24"/>
        </w:rPr>
        <w:t xml:space="preserve">This finding challenges the commonly held assumption that on-premise work, with its greater social interaction and physical organizational integration, produces higher employee satisfaction. The data suggests that, at least for this organization and workforce composition, remote work flexibility is a significant positive driver of employee experience.</w:t>
      </w:r>
    </w:p>
    <w:p>
      <w:pPr>
        <w:pStyle w:val="Heading2"/>
        <w:spacing w:after="140" w:before="320"/>
      </w:pPr>
      <w:r>
        <w:rPr>
          <w:rFonts w:ascii="Times New Roman" w:cs="Times New Roman" w:eastAsia="Times New Roman" w:hAnsi="Times New Roman"/>
          <w:b/>
          <w:bCs/>
          <w:sz w:val="28"/>
          <w:szCs w:val="28"/>
        </w:rPr>
        <w:t xml:space="preserve">8.4 Performance by Work Arrangement</w:t>
      </w:r>
    </w:p>
    <w:p>
      <w:pPr>
        <w:spacing w:after="100" w:before="100"/>
        <w:ind w:firstLine="720"/>
        <w:jc w:val="both"/>
      </w:pPr>
      <w:r>
        <w:rPr>
          <w:rFonts w:ascii="Times New Roman" w:cs="Times New Roman" w:eastAsia="Times New Roman" w:hAnsi="Times New Roman"/>
          <w:sz w:val="24"/>
          <w:szCs w:val="24"/>
        </w:rPr>
        <w:t xml:space="preserve">The performance analysis by Percent_Remote reveals a monotonic relationship: as the proportion of remote working time increases, average performance scores increase. Fully remote employees show the highest average performance scores, exceeding 0.90 on the last_evaluation scale. Mostly remote employees show the second highest scores at approximately 0.80. Hybrid employees show mid-range performance at approximately 0.65. Primarily on-premise employees show the lowest average performance scores at approximately 0.50.</w:t>
      </w:r>
    </w:p>
    <w:p>
      <w:pPr>
        <w:spacing w:after="100" w:before="100"/>
        <w:ind w:firstLine="720"/>
        <w:jc w:val="both"/>
      </w:pPr>
      <w:r>
        <w:rPr>
          <w:rFonts w:ascii="Times New Roman" w:cs="Times New Roman" w:eastAsia="Times New Roman" w:hAnsi="Times New Roman"/>
          <w:sz w:val="24"/>
          <w:szCs w:val="24"/>
        </w:rPr>
        <w:t xml:space="preserve">This finding is particularly striking given the common managerial intuition that in-office proximity facilitates collaboration, oversight, and productivity. The data suggests the opposite: autonomy and flexibility appear to be stronger determinants of performance than physical presence for this workforce.</w:t>
      </w:r>
    </w:p>
    <w:p>
      <w:pPr>
        <w:pStyle w:val="Heading2"/>
        <w:spacing w:after="140" w:before="320"/>
      </w:pPr>
      <w:r>
        <w:rPr>
          <w:rFonts w:ascii="Times New Roman" w:cs="Times New Roman" w:eastAsia="Times New Roman" w:hAnsi="Times New Roman"/>
          <w:b/>
          <w:bCs/>
          <w:sz w:val="28"/>
          <w:szCs w:val="28"/>
        </w:rPr>
        <w:t xml:space="preserve">8.5 Satisfaction by Department and Work Arrangement</w:t>
      </w:r>
    </w:p>
    <w:p>
      <w:pPr>
        <w:spacing w:after="100" w:before="100"/>
        <w:ind w:firstLine="720"/>
        <w:jc w:val="both"/>
      </w:pPr>
      <w:r>
        <w:rPr>
          <w:rFonts w:ascii="Times New Roman" w:cs="Times New Roman" w:eastAsia="Times New Roman" w:hAnsi="Times New Roman"/>
          <w:sz w:val="24"/>
          <w:szCs w:val="24"/>
        </w:rPr>
        <w:t xml:space="preserve">The grouped bar chart examining satisfaction by department and work arrangement reveals that, across all six departments, remote employees report higher satisfaction than their on-premise counterparts. The differential is consistent in direction if not in magnitude across departments. However, one finding stands out: the Sales department reports the lowest satisfaction scores of any department across all work arrangements. Remote Sales employees report lower satisfaction than On-Premise employees in other departments. On-Premise Sales employees report the lowest satisfaction of any group in the dataset.</w:t>
      </w:r>
    </w:p>
    <w:p>
      <w:pPr>
        <w:spacing w:after="100" w:before="100"/>
        <w:ind w:firstLine="720"/>
        <w:jc w:val="both"/>
      </w:pPr>
      <w:r>
        <w:rPr>
          <w:rFonts w:ascii="Times New Roman" w:cs="Times New Roman" w:eastAsia="Times New Roman" w:hAnsi="Times New Roman"/>
          <w:sz w:val="24"/>
          <w:szCs w:val="24"/>
        </w:rPr>
        <w:t xml:space="preserve">This department-specific finding suggests that the satisfaction deficit in Sales is driven by role-specific factors — the nature of the work, target pressures, compensation structure, or management culture — rather than by the work arrangement. Location change alone would not resolve the Sales satisfaction problem.</w:t>
      </w:r>
    </w:p>
    <w:p>
      <w:pPr>
        <w:pStyle w:val="Heading2"/>
        <w:spacing w:after="140" w:before="320"/>
      </w:pPr>
      <w:r>
        <w:rPr>
          <w:rFonts w:ascii="Times New Roman" w:cs="Times New Roman" w:eastAsia="Times New Roman" w:hAnsi="Times New Roman"/>
          <w:b/>
          <w:bCs/>
          <w:sz w:val="28"/>
          <w:szCs w:val="28"/>
        </w:rPr>
        <w:t xml:space="preserve">8.6 Leave Analysis by Gender and Work Arrangement</w:t>
      </w:r>
    </w:p>
    <w:p>
      <w:pPr>
        <w:spacing w:after="100" w:before="100"/>
        <w:ind w:firstLine="720"/>
        <w:jc w:val="both"/>
      </w:pPr>
      <w:r>
        <w:rPr>
          <w:rFonts w:ascii="Times New Roman" w:cs="Times New Roman" w:eastAsia="Times New Roman" w:hAnsi="Times New Roman"/>
          <w:sz w:val="24"/>
          <w:szCs w:val="24"/>
        </w:rPr>
        <w:t xml:space="preserve">The combined leave analysis reveals substantial differences in leave-taking behavior across gender and work arrangement combinations. Remote female employees account for approximately three thousand nine hundred leave instances in the dataset. On-premise female employees account for approximately one thousand one hundred leave instances. Remote male employees account for approximately nine hundred leave instances. On-premise male employees account for approximately two hundred leave instances.</w:t>
      </w:r>
    </w:p>
    <w:p>
      <w:pPr>
        <w:spacing w:after="100" w:before="100"/>
        <w:ind w:firstLine="720"/>
        <w:jc w:val="both"/>
      </w:pPr>
      <w:r>
        <w:rPr>
          <w:rFonts w:ascii="Times New Roman" w:cs="Times New Roman" w:eastAsia="Times New Roman" w:hAnsi="Times New Roman"/>
          <w:sz w:val="24"/>
          <w:szCs w:val="24"/>
        </w:rPr>
        <w:t xml:space="preserve">The most striking disparity is between remote and on-premise female employees, with remote females taking approximately three and a half times more leave than their on-premise counterparts. This differential suggests that remote work flexibility enables female employees to utilize their leave entitlements more freely, potentially reflecting the removal of social or structural barriers to leave-taking that exist in physical office environments. It may also reflect the caregiving realities faced by many female employees, for whom remote work makes it practically feasible to take leave in smaller, more flexible increments.</w:t>
      </w:r>
    </w:p>
    <w:p>
      <w:r>
        <w:br w:type="page"/>
      </w:r>
    </w:p>
    <w:p>
      <w:pPr>
        <w:pStyle w:val="Heading1"/>
        <w:pBdr>
          <w:bottom w:val="single" w:color="000000" w:sz="6"/>
        </w:pBdr>
        <w:spacing w:after="200" w:before="500"/>
      </w:pPr>
      <w:r>
        <w:rPr>
          <w:rFonts w:ascii="Times New Roman" w:cs="Times New Roman" w:eastAsia="Times New Roman" w:hAnsi="Times New Roman"/>
          <w:b/>
          <w:bCs/>
          <w:caps/>
          <w:sz w:val="36"/>
          <w:szCs w:val="36"/>
        </w:rPr>
        <w:t xml:space="preserve">IX. Summary of Key Findings</w:t>
      </w:r>
    </w:p>
    <w:p>
      <w:pPr>
        <w:pStyle w:val="Heading2"/>
        <w:spacing w:after="140" w:before="320"/>
      </w:pPr>
      <w:r>
        <w:rPr>
          <w:rFonts w:ascii="Times New Roman" w:cs="Times New Roman" w:eastAsia="Times New Roman" w:hAnsi="Times New Roman"/>
          <w:b/>
          <w:bCs/>
          <w:sz w:val="28"/>
          <w:szCs w:val="28"/>
        </w:rPr>
        <w:t xml:space="preserve">9.1 Findings Requiring Immediate Organizational Response</w:t>
      </w:r>
    </w:p>
    <w:p>
      <w:pPr>
        <w:spacing w:after="100" w:before="100"/>
        <w:ind w:firstLine="720"/>
        <w:jc w:val="both"/>
      </w:pPr>
      <w:r>
        <w:rPr>
          <w:rFonts w:ascii="Times New Roman" w:cs="Times New Roman" w:eastAsia="Times New Roman" w:hAnsi="Times New Roman"/>
          <w:sz w:val="24"/>
          <w:szCs w:val="24"/>
        </w:rPr>
        <w:t xml:space="preserve">The analysis produces three findings that, individually and collectively, represent immediate organizational risks requiring executive-level attention and accelerated intervention.</w:t>
      </w:r>
    </w:p>
    <w:p>
      <w:pPr>
        <w:spacing w:after="100" w:before="100"/>
        <w:ind w:firstLine="720"/>
        <w:jc w:val="both"/>
      </w:pPr>
      <w:r>
        <w:rPr>
          <w:rFonts w:ascii="Times New Roman" w:cs="Times New Roman" w:eastAsia="Times New Roman" w:hAnsi="Times New Roman"/>
          <w:sz w:val="24"/>
          <w:szCs w:val="24"/>
        </w:rPr>
        <w:t xml:space="preserve">First, the organization's attrition rate of twenty-four percent significantly exceeds typical industry benchmarks of fifteen to eighteen percent. This excess attrition translates to approximately one thousand to one thousand four hundred additional departures above what a well-functioning retention program would produce. At conservative replacement cost estimates, this excess represents tens of millions of dollars in direct and indirect costs annually.</w:t>
      </w:r>
    </w:p>
    <w:p>
      <w:pPr>
        <w:spacing w:after="100" w:before="100"/>
        <w:ind w:firstLine="720"/>
        <w:jc w:val="both"/>
      </w:pPr>
      <w:r>
        <w:rPr>
          <w:rFonts w:ascii="Times New Roman" w:cs="Times New Roman" w:eastAsia="Times New Roman" w:hAnsi="Times New Roman"/>
          <w:sz w:val="24"/>
          <w:szCs w:val="24"/>
        </w:rPr>
        <w:t xml:space="preserve">Second, four thousand seven hundred and forty-two employees, representing thirty-one point six percent of the workforce, are classified as High Risk for departure. This is not a small, isolated problem confined to a single department or demographic; it is a pervasive challenge affecting nearly one in three employees across the organization.</w:t>
      </w:r>
    </w:p>
    <w:p>
      <w:pPr>
        <w:spacing w:after="100" w:before="100"/>
        <w:ind w:firstLine="720"/>
        <w:jc w:val="both"/>
      </w:pPr>
      <w:r>
        <w:rPr>
          <w:rFonts w:ascii="Times New Roman" w:cs="Times New Roman" w:eastAsia="Times New Roman" w:hAnsi="Times New Roman"/>
          <w:sz w:val="24"/>
          <w:szCs w:val="24"/>
        </w:rPr>
        <w:t xml:space="preserve">Third, the Operations department exhibits the highest attrition rate among all departments and also experiences significant workplace safety challenges. The compounding effect of high attrition and elevated accident rates creates a structural instability in this department that is likely to worsen without targeted intervention.</w:t>
      </w:r>
    </w:p>
    <w:p>
      <w:pPr>
        <w:pStyle w:val="Heading2"/>
        <w:spacing w:after="140" w:before="320"/>
      </w:pPr>
      <w:r>
        <w:rPr>
          <w:rFonts w:ascii="Times New Roman" w:cs="Times New Roman" w:eastAsia="Times New Roman" w:hAnsi="Times New Roman"/>
          <w:b/>
          <w:bCs/>
          <w:sz w:val="28"/>
          <w:szCs w:val="28"/>
        </w:rPr>
        <w:t xml:space="preserve">9.2 Findings Requiring Sustained Monitoring and Management</w:t>
      </w:r>
    </w:p>
    <w:p>
      <w:pPr>
        <w:spacing w:after="100" w:before="100"/>
        <w:ind w:firstLine="720"/>
        <w:jc w:val="both"/>
      </w:pPr>
      <w:r>
        <w:rPr>
          <w:rFonts w:ascii="Times New Roman" w:cs="Times New Roman" w:eastAsia="Times New Roman" w:hAnsi="Times New Roman"/>
          <w:sz w:val="24"/>
          <w:szCs w:val="24"/>
        </w:rPr>
        <w:t xml:space="preserve">Three additional findings require ongoing monitoring and structured management responses, even if they do not demand the same urgency as the findings described above.</w:t>
      </w:r>
    </w:p>
    <w:p>
      <w:pPr>
        <w:spacing w:after="100" w:before="100"/>
        <w:ind w:firstLine="720"/>
        <w:jc w:val="both"/>
      </w:pPr>
      <w:r>
        <w:rPr>
          <w:rFonts w:ascii="Times New Roman" w:cs="Times New Roman" w:eastAsia="Times New Roman" w:hAnsi="Times New Roman"/>
          <w:sz w:val="24"/>
          <w:szCs w:val="24"/>
        </w:rPr>
        <w:t xml:space="preserve">The Sales department's consistently low satisfaction scores, observed across all work arrangements and persisting regardless of geographic or demographic segmentation, indicate a role-specific or culture-specific problem that will not resolve through generic HR interventions. A dedicated review of sales culture, management practices, compensation structure, and career development pathways is warranted.</w:t>
      </w:r>
    </w:p>
    <w:p>
      <w:pPr>
        <w:spacing w:after="100" w:before="100"/>
        <w:ind w:firstLine="720"/>
        <w:jc w:val="both"/>
      </w:pPr>
      <w:r>
        <w:rPr>
          <w:rFonts w:ascii="Times New Roman" w:cs="Times New Roman" w:eastAsia="Times New Roman" w:hAnsi="Times New Roman"/>
          <w:sz w:val="24"/>
          <w:szCs w:val="24"/>
        </w:rPr>
        <w:t xml:space="preserve">The average proximity score of six point forty, while not alarming in isolation, is worth monitoring because higher isolation scores are associated with lower engagement across the dataset. As the proportion of remote workers grows, sustained attention to social connection and team cohesion will be necessary to prevent isolation from eroding the engagement benefits of remote work.</w:t>
      </w:r>
    </w:p>
    <w:p>
      <w:pPr>
        <w:spacing w:after="100" w:before="100"/>
        <w:ind w:firstLine="720"/>
        <w:jc w:val="both"/>
      </w:pPr>
      <w:r>
        <w:rPr>
          <w:rFonts w:ascii="Times New Roman" w:cs="Times New Roman" w:eastAsia="Times New Roman" w:hAnsi="Times New Roman"/>
          <w:sz w:val="24"/>
          <w:szCs w:val="24"/>
        </w:rPr>
        <w:t xml:space="preserve">The work accident rate of fourteen point forty-six percent, while a single-period measurement without trend context, represents a meaningful safety exposure. The eighteen percent higher attrition rate among accident-affected employees adds a retention dimension to what might otherwise be treated as a purely operational safety concern.</w:t>
      </w:r>
    </w:p>
    <w:p>
      <w:pPr>
        <w:pStyle w:val="Heading2"/>
        <w:spacing w:after="140" w:before="320"/>
      </w:pPr>
      <w:r>
        <w:rPr>
          <w:rFonts w:ascii="Times New Roman" w:cs="Times New Roman" w:eastAsia="Times New Roman" w:hAnsi="Times New Roman"/>
          <w:b/>
          <w:bCs/>
          <w:sz w:val="28"/>
          <w:szCs w:val="28"/>
        </w:rPr>
        <w:t xml:space="preserve">9.3 Findings That Can Be Leveraged as Organizational Strengths</w:t>
      </w:r>
    </w:p>
    <w:p>
      <w:pPr>
        <w:spacing w:after="100" w:before="100"/>
        <w:ind w:firstLine="720"/>
        <w:jc w:val="both"/>
      </w:pPr>
      <w:r>
        <w:rPr>
          <w:rFonts w:ascii="Times New Roman" w:cs="Times New Roman" w:eastAsia="Times New Roman" w:hAnsi="Times New Roman"/>
          <w:sz w:val="24"/>
          <w:szCs w:val="24"/>
        </w:rPr>
        <w:t xml:space="preserve">Four findings emerge from the analysis as organizational strengths that can be actively leveraged in talent and retention strategies.</w:t>
      </w:r>
    </w:p>
    <w:p>
      <w:pPr>
        <w:spacing w:after="100" w:before="100"/>
        <w:ind w:firstLine="720"/>
        <w:jc w:val="both"/>
      </w:pPr>
      <w:r>
        <w:rPr>
          <w:rFonts w:ascii="Times New Roman" w:cs="Times New Roman" w:eastAsia="Times New Roman" w:hAnsi="Times New Roman"/>
          <w:sz w:val="24"/>
          <w:szCs w:val="24"/>
        </w:rPr>
        <w:t xml:space="preserve">The strong performance of remote employees on both satisfaction and performance dimensions provides an evidence base for expanding remote work policies. Remote work is demonstrably not a productivity sacrifice for this organization; it is a performance driver.</w:t>
      </w:r>
    </w:p>
    <w:p>
      <w:pPr>
        <w:spacing w:after="100" w:before="100"/>
        <w:ind w:firstLine="720"/>
        <w:jc w:val="both"/>
      </w:pPr>
      <w:r>
        <w:rPr>
          <w:rFonts w:ascii="Times New Roman" w:cs="Times New Roman" w:eastAsia="Times New Roman" w:hAnsi="Times New Roman"/>
          <w:sz w:val="24"/>
          <w:szCs w:val="24"/>
        </w:rPr>
        <w:t xml:space="preserve">The three thousand nine hundred and ninety-eight Star Employees, representing twenty-six point seven percent of the workforce, provide a strong performance foundation. These individuals are highly engaged and productive, and their presence creates a cultural and performance anchor for the broader workforce.</w:t>
      </w:r>
    </w:p>
    <w:p>
      <w:pPr>
        <w:spacing w:after="100" w:before="100"/>
        <w:ind w:firstLine="720"/>
        <w:jc w:val="both"/>
      </w:pPr>
      <w:r>
        <w:rPr>
          <w:rFonts w:ascii="Times New Roman" w:cs="Times New Roman" w:eastAsia="Times New Roman" w:hAnsi="Times New Roman"/>
          <w:sz w:val="24"/>
          <w:szCs w:val="24"/>
        </w:rPr>
        <w:t xml:space="preserve">The organization's near-perfect gender balance of fifty point sixty-four percent male and forty-nine point thirty-six percent female is a meaningful achievement that provides a foundation for inclusive talent strategies.</w:t>
      </w:r>
    </w:p>
    <w:p>
      <w:pPr>
        <w:spacing w:after="100" w:before="100"/>
        <w:ind w:firstLine="720"/>
        <w:jc w:val="both"/>
      </w:pPr>
      <w:r>
        <w:rPr>
          <w:rFonts w:ascii="Times New Roman" w:cs="Times New Roman" w:eastAsia="Times New Roman" w:hAnsi="Times New Roman"/>
          <w:sz w:val="24"/>
          <w:szCs w:val="24"/>
        </w:rPr>
        <w:t xml:space="preserve">The workforce's average heart rate of seventy-eight beats per minute confirms that employees are not in acute physiological distress. This baseline provides a healthy starting point for wellbeing initiatives and suggests that the workforce has the physical capacity to respond positively to engagement programs.</w:t>
      </w:r>
    </w:p>
    <w:p>
      <w:r>
        <w:br w:type="page"/>
      </w:r>
    </w:p>
    <w:p>
      <w:pPr>
        <w:pStyle w:val="Heading1"/>
        <w:pBdr>
          <w:bottom w:val="single" w:color="000000" w:sz="6"/>
        </w:pBdr>
        <w:spacing w:after="200" w:before="500"/>
      </w:pPr>
      <w:r>
        <w:rPr>
          <w:rFonts w:ascii="Times New Roman" w:cs="Times New Roman" w:eastAsia="Times New Roman" w:hAnsi="Times New Roman"/>
          <w:b/>
          <w:bCs/>
          <w:caps/>
          <w:sz w:val="36"/>
          <w:szCs w:val="36"/>
        </w:rPr>
        <w:t xml:space="preserve">X. Strategic Recommendations</w:t>
      </w:r>
    </w:p>
    <w:p>
      <w:pPr>
        <w:pStyle w:val="Heading2"/>
        <w:spacing w:after="140" w:before="320"/>
      </w:pPr>
      <w:r>
        <w:rPr>
          <w:rFonts w:ascii="Times New Roman" w:cs="Times New Roman" w:eastAsia="Times New Roman" w:hAnsi="Times New Roman"/>
          <w:b/>
          <w:bCs/>
          <w:sz w:val="28"/>
          <w:szCs w:val="28"/>
        </w:rPr>
        <w:t xml:space="preserve">10.1 High Priority Recommendations</w:t>
      </w:r>
    </w:p>
    <w:p>
      <w:pPr>
        <w:spacing w:after="100" w:before="100"/>
        <w:ind w:firstLine="720"/>
        <w:jc w:val="both"/>
      </w:pPr>
      <w:r>
        <w:rPr>
          <w:rFonts w:ascii="Times New Roman" w:cs="Times New Roman" w:eastAsia="Times New Roman" w:hAnsi="Times New Roman"/>
          <w:sz w:val="24"/>
          <w:szCs w:val="24"/>
        </w:rPr>
        <w:t xml:space="preserve">The following recommendations address the most critical and time-sensitive findings from the analysis. They are directed primarily at the Chief Human Resources Officer and senior HR leadership.</w:t>
      </w:r>
    </w:p>
    <w:p>
      <w:pPr>
        <w:pStyle w:val="Heading3"/>
        <w:spacing w:after="100" w:before="220"/>
      </w:pPr>
      <w:r>
        <w:rPr>
          <w:rFonts w:ascii="Times New Roman" w:cs="Times New Roman" w:eastAsia="Times New Roman" w:hAnsi="Times New Roman"/>
          <w:b/>
          <w:bCs/>
          <w:i/>
          <w:iCs/>
          <w:sz w:val="24"/>
          <w:szCs w:val="24"/>
        </w:rPr>
        <w:t xml:space="preserve">Recommendation 1: Implement an Emergency Retention Program for High Risk Employees</w:t>
      </w:r>
    </w:p>
    <w:p>
      <w:pPr>
        <w:spacing w:after="100" w:before="100"/>
        <w:ind w:firstLine="720"/>
        <w:jc w:val="both"/>
      </w:pPr>
      <w:r>
        <w:rPr>
          <w:rFonts w:ascii="Times New Roman" w:cs="Times New Roman" w:eastAsia="Times New Roman" w:hAnsi="Times New Roman"/>
          <w:sz w:val="24"/>
          <w:szCs w:val="24"/>
        </w:rPr>
        <w:t xml:space="preserve">The four thousand seven hundred and forty-two employees classified as High Risk represent the most immediate organizational priority. A targeted retention program should be designed and launched within thirty days, encompassing three components: first, mandatory manager check-in conversations with all High Risk employees to surface concerns and gather qualitative intelligence on departure drivers; second, a compensation review for High Risk employees whose salaries fall below current market benchmarks; and third, accelerated career development planning for High Risk employees who express a desire for advancement but perceive limited internal opportunity.</w:t>
      </w:r>
    </w:p>
    <w:p>
      <w:pPr>
        <w:pStyle w:val="Heading3"/>
        <w:spacing w:after="100" w:before="220"/>
      </w:pPr>
      <w:r>
        <w:rPr>
          <w:rFonts w:ascii="Times New Roman" w:cs="Times New Roman" w:eastAsia="Times New Roman" w:hAnsi="Times New Roman"/>
          <w:b/>
          <w:bCs/>
          <w:i/>
          <w:iCs/>
          <w:sz w:val="24"/>
          <w:szCs w:val="24"/>
        </w:rPr>
        <w:t xml:space="preserve">Recommendation 2: Protect Star Employee Talent</w:t>
      </w:r>
    </w:p>
    <w:p>
      <w:pPr>
        <w:spacing w:after="100" w:before="100"/>
        <w:ind w:firstLine="720"/>
        <w:jc w:val="both"/>
      </w:pPr>
      <w:r>
        <w:rPr>
          <w:rFonts w:ascii="Times New Roman" w:cs="Times New Roman" w:eastAsia="Times New Roman" w:hAnsi="Times New Roman"/>
          <w:sz w:val="24"/>
          <w:szCs w:val="24"/>
        </w:rPr>
        <w:t xml:space="preserve">The three thousand nine hundred and ninety-eight Star Employees are the organization's most valuable human capital assets. A dedicated Star Employee retention program should include above-market compensation adjustments, annual retention bonuses tied to continued employment, dedicated professional development budgets, and formal recognition mechanisms that provide social status and visibility. The cost of these programs will be substantially lower than the replacement cost of losing a meaningful proportion of this group.</w:t>
      </w:r>
    </w:p>
    <w:p>
      <w:pPr>
        <w:pStyle w:val="Heading3"/>
        <w:spacing w:after="100" w:before="220"/>
      </w:pPr>
      <w:r>
        <w:rPr>
          <w:rFonts w:ascii="Times New Roman" w:cs="Times New Roman" w:eastAsia="Times New Roman" w:hAnsi="Times New Roman"/>
          <w:b/>
          <w:bCs/>
          <w:i/>
          <w:iCs/>
          <w:sz w:val="24"/>
          <w:szCs w:val="24"/>
        </w:rPr>
        <w:t xml:space="preserve">Recommendation 3: Conduct a Structural Review of the Operations Department</w:t>
      </w:r>
    </w:p>
    <w:p>
      <w:pPr>
        <w:spacing w:after="100" w:before="100"/>
        <w:ind w:firstLine="720"/>
        <w:jc w:val="both"/>
      </w:pPr>
      <w:r>
        <w:rPr>
          <w:rFonts w:ascii="Times New Roman" w:cs="Times New Roman" w:eastAsia="Times New Roman" w:hAnsi="Times New Roman"/>
          <w:sz w:val="24"/>
          <w:szCs w:val="24"/>
        </w:rPr>
        <w:t xml:space="preserve">The Operations department's combination of high attrition rate and elevated work accident rate indicates systemic organizational dysfunction. A structured review should examine management practices, role design, compensation relative to comparable external roles, physical working conditions, safety protocol adequacy, and the quality of employee feedback mechanisms within the department.</w:t>
      </w:r>
    </w:p>
    <w:p>
      <w:pPr>
        <w:pStyle w:val="Heading2"/>
        <w:spacing w:after="140" w:before="320"/>
      </w:pPr>
      <w:r>
        <w:rPr>
          <w:rFonts w:ascii="Times New Roman" w:cs="Times New Roman" w:eastAsia="Times New Roman" w:hAnsi="Times New Roman"/>
          <w:b/>
          <w:bCs/>
          <w:sz w:val="28"/>
          <w:szCs w:val="28"/>
        </w:rPr>
        <w:t xml:space="preserve">10.2 Medium Priority Recommendations</w:t>
      </w:r>
    </w:p>
    <w:p>
      <w:pPr>
        <w:pStyle w:val="Heading3"/>
        <w:spacing w:after="100" w:before="220"/>
      </w:pPr>
      <w:r>
        <w:rPr>
          <w:rFonts w:ascii="Times New Roman" w:cs="Times New Roman" w:eastAsia="Times New Roman" w:hAnsi="Times New Roman"/>
          <w:b/>
          <w:bCs/>
          <w:i/>
          <w:iCs/>
          <w:sz w:val="24"/>
          <w:szCs w:val="24"/>
        </w:rPr>
        <w:t xml:space="preserve">Recommendation 4: Expand Remote Work Policy</w:t>
      </w:r>
    </w:p>
    <w:p>
      <w:pPr>
        <w:spacing w:after="100" w:before="100"/>
        <w:ind w:firstLine="720"/>
        <w:jc w:val="both"/>
      </w:pPr>
      <w:r>
        <w:rPr>
          <w:rFonts w:ascii="Times New Roman" w:cs="Times New Roman" w:eastAsia="Times New Roman" w:hAnsi="Times New Roman"/>
          <w:sz w:val="24"/>
          <w:szCs w:val="24"/>
        </w:rPr>
        <w:t xml:space="preserve">The data provides a strong empirical basis for expanding remote work eligibility across the organization. Remote employees demonstrate higher satisfaction and higher performance than their on-premise counterparts. A phased expansion of remote work eligibility, beginning with departments that show the greatest satisfaction and performance differentials, would be supported by the evidence. Hybrid arrangements, currently representing only seven point forty-one percent of the workforce, may also merit expansion as a middle-ground option.</w:t>
      </w:r>
    </w:p>
    <w:p>
      <w:pPr>
        <w:pStyle w:val="Heading3"/>
        <w:spacing w:after="100" w:before="220"/>
      </w:pPr>
      <w:r>
        <w:rPr>
          <w:rFonts w:ascii="Times New Roman" w:cs="Times New Roman" w:eastAsia="Times New Roman" w:hAnsi="Times New Roman"/>
          <w:b/>
          <w:bCs/>
          <w:i/>
          <w:iCs/>
          <w:sz w:val="24"/>
          <w:szCs w:val="24"/>
        </w:rPr>
        <w:t xml:space="preserve">Recommendation 5: Address the Sales Department Satisfaction Problem</w:t>
      </w:r>
    </w:p>
    <w:p>
      <w:pPr>
        <w:spacing w:after="100" w:before="100"/>
        <w:ind w:firstLine="720"/>
        <w:jc w:val="both"/>
      </w:pPr>
      <w:r>
        <w:rPr>
          <w:rFonts w:ascii="Times New Roman" w:cs="Times New Roman" w:eastAsia="Times New Roman" w:hAnsi="Times New Roman"/>
          <w:sz w:val="24"/>
          <w:szCs w:val="24"/>
        </w:rPr>
        <w:t xml:space="preserve">The Sales department's low satisfaction scores are independent of work arrangement and cannot be resolved through remote work expansion alone. A targeted diagnostic review of the Sales department should examine compensation structure and commission design, management quality and leadership behaviors, target-setting practices and their perceived fairness, career progression pathways, and the adequacy of tools and resources provided to sales staff.</w:t>
      </w:r>
    </w:p>
    <w:p>
      <w:pPr>
        <w:pStyle w:val="Heading3"/>
        <w:spacing w:after="100" w:before="220"/>
      </w:pPr>
      <w:r>
        <w:rPr>
          <w:rFonts w:ascii="Times New Roman" w:cs="Times New Roman" w:eastAsia="Times New Roman" w:hAnsi="Times New Roman"/>
          <w:b/>
          <w:bCs/>
          <w:i/>
          <w:iCs/>
          <w:sz w:val="24"/>
          <w:szCs w:val="24"/>
        </w:rPr>
        <w:t xml:space="preserve">Recommendation 6: Establish a LinkedIn Activity Monitoring Program</w:t>
      </w:r>
    </w:p>
    <w:p>
      <w:pPr>
        <w:spacing w:after="100" w:before="100"/>
        <w:ind w:firstLine="720"/>
        <w:jc w:val="both"/>
      </w:pPr>
      <w:r>
        <w:rPr>
          <w:rFonts w:ascii="Times New Roman" w:cs="Times New Roman" w:eastAsia="Times New Roman" w:hAnsi="Times New Roman"/>
          <w:sz w:val="24"/>
          <w:szCs w:val="24"/>
        </w:rPr>
        <w:t xml:space="preserve">The LinkedIn Hits data provides a valuable leading indicator of departure risk. A systematic monitoring program should be established to identify employees whose LinkedIn activity exceeds the High Risk threshold of forty-five hits per month. These employees should be automatically flagged for proactive manager engagement within a defined response window. This approach converts a lagging retention problem into a leading retention opportunity.</w:t>
      </w:r>
    </w:p>
    <w:p>
      <w:pPr>
        <w:pStyle w:val="Heading2"/>
        <w:spacing w:after="140" w:before="320"/>
      </w:pPr>
      <w:r>
        <w:rPr>
          <w:rFonts w:ascii="Times New Roman" w:cs="Times New Roman" w:eastAsia="Times New Roman" w:hAnsi="Times New Roman"/>
          <w:b/>
          <w:bCs/>
          <w:sz w:val="28"/>
          <w:szCs w:val="28"/>
        </w:rPr>
        <w:t xml:space="preserve">10.3 Lower Priority Recommendations</w:t>
      </w:r>
    </w:p>
    <w:p>
      <w:pPr>
        <w:pStyle w:val="Heading3"/>
        <w:spacing w:after="100" w:before="220"/>
      </w:pPr>
      <w:r>
        <w:rPr>
          <w:rFonts w:ascii="Times New Roman" w:cs="Times New Roman" w:eastAsia="Times New Roman" w:hAnsi="Times New Roman"/>
          <w:b/>
          <w:bCs/>
          <w:i/>
          <w:iCs/>
          <w:sz w:val="24"/>
          <w:szCs w:val="24"/>
        </w:rPr>
        <w:t xml:space="preserve">Recommendation 7: Enhance Workplace Safety in Operations and Warehouse</w:t>
      </w:r>
    </w:p>
    <w:p>
      <w:pPr>
        <w:spacing w:after="100" w:before="100"/>
        <w:ind w:firstLine="720"/>
        <w:jc w:val="both"/>
      </w:pPr>
      <w:r>
        <w:rPr>
          <w:rFonts w:ascii="Times New Roman" w:cs="Times New Roman" w:eastAsia="Times New Roman" w:hAnsi="Times New Roman"/>
          <w:sz w:val="24"/>
          <w:szCs w:val="24"/>
        </w:rPr>
        <w:t xml:space="preserve">Given the fourteen point forty-six percent work accident rate and its documented correlation with attrition, a structured safety improvement program targeting Operations and Warehouse departments is warranted. This program should include a root cause analysis of recent accidents, enhanced safety training, physical environment assessment, and the introduction of regular safety audits.</w:t>
      </w:r>
    </w:p>
    <w:p>
      <w:pPr>
        <w:pStyle w:val="Heading3"/>
        <w:spacing w:after="100" w:before="220"/>
      </w:pPr>
      <w:r>
        <w:rPr>
          <w:rFonts w:ascii="Times New Roman" w:cs="Times New Roman" w:eastAsia="Times New Roman" w:hAnsi="Times New Roman"/>
          <w:b/>
          <w:bCs/>
          <w:i/>
          <w:iCs/>
          <w:sz w:val="24"/>
          <w:szCs w:val="24"/>
        </w:rPr>
        <w:t xml:space="preserve">Recommendation 8: Implement Social Connection Initiatives</w:t>
      </w:r>
    </w:p>
    <w:p>
      <w:pPr>
        <w:spacing w:after="100" w:before="100"/>
        <w:ind w:firstLine="720"/>
        <w:jc w:val="both"/>
      </w:pPr>
      <w:r>
        <w:rPr>
          <w:rFonts w:ascii="Times New Roman" w:cs="Times New Roman" w:eastAsia="Times New Roman" w:hAnsi="Times New Roman"/>
          <w:sz w:val="24"/>
          <w:szCs w:val="24"/>
        </w:rPr>
        <w:t xml:space="preserve">The moderate proximity isolation scores, particularly in Warehouse and IT departments, suggest that deliberate efforts to strengthen team cohesion are warranted. These might include structured team meetings, cross-functional project assignments, in-person team days for remote employees, and digital collaboration tools that facilitate informal social interaction.</w:t>
      </w:r>
    </w:p>
    <w:p>
      <w:pPr>
        <w:pStyle w:val="Heading3"/>
        <w:spacing w:after="100" w:before="220"/>
      </w:pPr>
      <w:r>
        <w:rPr>
          <w:rFonts w:ascii="Times New Roman" w:cs="Times New Roman" w:eastAsia="Times New Roman" w:hAnsi="Times New Roman"/>
          <w:b/>
          <w:bCs/>
          <w:i/>
          <w:iCs/>
          <w:sz w:val="24"/>
          <w:szCs w:val="24"/>
        </w:rPr>
        <w:t xml:space="preserve">Recommendation 9: Conduct a Medium Salary Band Compensation Review</w:t>
      </w:r>
    </w:p>
    <w:p>
      <w:pPr>
        <w:spacing w:after="100" w:before="100"/>
        <w:ind w:firstLine="720"/>
        <w:jc w:val="both"/>
      </w:pPr>
      <w:r>
        <w:rPr>
          <w:rFonts w:ascii="Times New Roman" w:cs="Times New Roman" w:eastAsia="Times New Roman" w:hAnsi="Times New Roman"/>
          <w:sz w:val="24"/>
          <w:szCs w:val="24"/>
        </w:rPr>
        <w:t xml:space="preserve">The medium salary band represents the largest employee group at forty-three percent of the workforce. Regular benchmarking of medium band salaries against market comparators will help ensure that this group does not become a significant source of attrition as external opportunities present themselves.</w:t>
      </w:r>
    </w:p>
    <w:p>
      <w:r>
        <w:br w:type="page"/>
      </w:r>
    </w:p>
    <w:p>
      <w:pPr>
        <w:pStyle w:val="Heading1"/>
        <w:pBdr>
          <w:bottom w:val="single" w:color="000000" w:sz="6"/>
        </w:pBdr>
        <w:spacing w:after="200" w:before="500"/>
      </w:pPr>
      <w:r>
        <w:rPr>
          <w:rFonts w:ascii="Times New Roman" w:cs="Times New Roman" w:eastAsia="Times New Roman" w:hAnsi="Times New Roman"/>
          <w:b/>
          <w:bCs/>
          <w:caps/>
          <w:sz w:val="36"/>
          <w:szCs w:val="36"/>
        </w:rPr>
        <w:t xml:space="preserve">XI. Limitations and Considerations</w:t>
      </w:r>
    </w:p>
    <w:p>
      <w:pPr>
        <w:pStyle w:val="Heading2"/>
        <w:spacing w:after="140" w:before="320"/>
      </w:pPr>
      <w:r>
        <w:rPr>
          <w:rFonts w:ascii="Times New Roman" w:cs="Times New Roman" w:eastAsia="Times New Roman" w:hAnsi="Times New Roman"/>
          <w:b/>
          <w:bCs/>
          <w:sz w:val="28"/>
          <w:szCs w:val="28"/>
        </w:rPr>
        <w:t xml:space="preserve">11.1 Data Structure Limitations</w:t>
      </w:r>
    </w:p>
    <w:p>
      <w:pPr>
        <w:spacing w:after="100" w:before="100"/>
        <w:ind w:firstLine="720"/>
        <w:jc w:val="both"/>
      </w:pPr>
      <w:r>
        <w:rPr>
          <w:rFonts w:ascii="Times New Roman" w:cs="Times New Roman" w:eastAsia="Times New Roman" w:hAnsi="Times New Roman"/>
          <w:sz w:val="24"/>
          <w:szCs w:val="24"/>
        </w:rPr>
        <w:t xml:space="preserve">The dataset is cross-sectional rather than longitudinal, meaning that it captures a single point-in-time snapshot of the workforce rather than a time series of observations. This structure prevents the analysis from identifying trends, measuring the effectiveness of past interventions, or forecasting future attrition trajectories with precision. The relationships identified in this analysis are associational rather than causal; the data does not allow definitive conclusions about why employees leave or what specifically drives engagement.</w:t>
      </w:r>
    </w:p>
    <w:p>
      <w:pPr>
        <w:pStyle w:val="Heading2"/>
        <w:spacing w:after="140" w:before="320"/>
      </w:pPr>
      <w:r>
        <w:rPr>
          <w:rFonts w:ascii="Times New Roman" w:cs="Times New Roman" w:eastAsia="Times New Roman" w:hAnsi="Times New Roman"/>
          <w:b/>
          <w:bCs/>
          <w:sz w:val="28"/>
          <w:szCs w:val="28"/>
        </w:rPr>
        <w:t xml:space="preserve">11.2 Sensor Data Uniformity</w:t>
      </w:r>
    </w:p>
    <w:p>
      <w:pPr>
        <w:spacing w:after="100" w:before="100"/>
        <w:ind w:firstLine="720"/>
        <w:jc w:val="both"/>
      </w:pPr>
      <w:r>
        <w:rPr>
          <w:rFonts w:ascii="Times New Roman" w:cs="Times New Roman" w:eastAsia="Times New Roman" w:hAnsi="Times New Roman"/>
          <w:sz w:val="24"/>
          <w:szCs w:val="24"/>
        </w:rPr>
        <w:t xml:space="preserve">Several sensor-derived columns exhibit limited variation across the dataset. The Sensor_StepCount, Sensor_Heartbeat, and Sensor_Proximity columns all show very small ranges of variation at the department level, suggesting that the sensor measurements may have been collected or recorded in a way that compresses individual-level differences. This limits the analytical value of these columns for comparative analysis and means that the wellbeing indicators function primarily as population-level descriptors rather than individual-level discriminators.</w:t>
      </w:r>
    </w:p>
    <w:p>
      <w:pPr>
        <w:pStyle w:val="Heading2"/>
        <w:spacing w:after="140" w:before="320"/>
      </w:pPr>
      <w:r>
        <w:rPr>
          <w:rFonts w:ascii="Times New Roman" w:cs="Times New Roman" w:eastAsia="Times New Roman" w:hAnsi="Times New Roman"/>
          <w:b/>
          <w:bCs/>
          <w:sz w:val="28"/>
          <w:szCs w:val="28"/>
        </w:rPr>
        <w:t xml:space="preserve">11.3 Classification Threshold Sensitivity</w:t>
      </w:r>
    </w:p>
    <w:p>
      <w:pPr>
        <w:spacing w:after="100" w:before="100"/>
        <w:ind w:firstLine="720"/>
        <w:jc w:val="both"/>
      </w:pPr>
      <w:r>
        <w:rPr>
          <w:rFonts w:ascii="Times New Roman" w:cs="Times New Roman" w:eastAsia="Times New Roman" w:hAnsi="Times New Roman"/>
          <w:sz w:val="24"/>
          <w:szCs w:val="24"/>
        </w:rPr>
        <w:t xml:space="preserve">The Attrition Risk and Employee Profile classification schemes are based on threshold values for last_evaluation and Avg Engagement. These thresholds were set based on the observed distribution of the data and professional judgment, but they are not empirically validated against actual departure outcomes. The classification system should be treated as a practical approximation rather than a statistically validated prediction model.</w:t>
      </w:r>
    </w:p>
    <w:p>
      <w:pPr>
        <w:pStyle w:val="Heading2"/>
        <w:spacing w:after="140" w:before="320"/>
      </w:pPr>
      <w:r>
        <w:rPr>
          <w:rFonts w:ascii="Times New Roman" w:cs="Times New Roman" w:eastAsia="Times New Roman" w:hAnsi="Times New Roman"/>
          <w:b/>
          <w:bCs/>
          <w:sz w:val="28"/>
          <w:szCs w:val="28"/>
        </w:rPr>
        <w:t xml:space="preserve">11.4 Absent Variables</w:t>
      </w:r>
    </w:p>
    <w:p>
      <w:pPr>
        <w:spacing w:after="100" w:before="100"/>
        <w:ind w:firstLine="720"/>
        <w:jc w:val="both"/>
      </w:pPr>
      <w:r>
        <w:rPr>
          <w:rFonts w:ascii="Times New Roman" w:cs="Times New Roman" w:eastAsia="Times New Roman" w:hAnsi="Times New Roman"/>
          <w:sz w:val="24"/>
          <w:szCs w:val="24"/>
        </w:rPr>
        <w:t xml:space="preserve">The dataset does not include several variables that existing research identifies as important drivers of attrition and engagement, including direct measures of managerial quality, the specifics of team composition and dynamics, detailed compensation data beyond categorical salary bands, interview or survey data about departure intentions, or external labor market conditions. The absence of these variables means that the analysis necessarily works with proxies and approximations of the underlying constructs of interest.</w:t>
      </w:r>
    </w:p>
    <w:p>
      <w:r>
        <w:br w:type="page"/>
      </w:r>
    </w:p>
    <w:p>
      <w:pPr>
        <w:pStyle w:val="Heading1"/>
        <w:pBdr>
          <w:bottom w:val="single" w:color="000000" w:sz="6"/>
        </w:pBdr>
        <w:spacing w:after="200" w:before="500"/>
      </w:pPr>
      <w:r>
        <w:rPr>
          <w:rFonts w:ascii="Times New Roman" w:cs="Times New Roman" w:eastAsia="Times New Roman" w:hAnsi="Times New Roman"/>
          <w:b/>
          <w:bCs/>
          <w:caps/>
          <w:sz w:val="36"/>
          <w:szCs w:val="36"/>
        </w:rPr>
        <w:t xml:space="preserve">XII. Conclusion</w:t>
      </w:r>
    </w:p>
    <w:p>
      <w:pPr>
        <w:spacing w:after="100" w:before="100"/>
        <w:ind w:firstLine="720"/>
        <w:jc w:val="both"/>
      </w:pPr>
      <w:r>
        <w:rPr>
          <w:rFonts w:ascii="Times New Roman" w:cs="Times New Roman" w:eastAsia="Times New Roman" w:hAnsi="Times New Roman"/>
          <w:sz w:val="24"/>
          <w:szCs w:val="24"/>
        </w:rPr>
        <w:t xml:space="preserve">This report has presented a comprehensive analytical account of the HR Engagement Dashboard project, examining workforce data across four analytical dimensions: executive-level metrics, talent and retention risk, employee wellbeing, and remote versus on-premise work patterns. The analysis has produced a range of findings, from the urgent to the encouraging, that together paint a nuanced picture of an organization facing significant retention challenges but possessing meaningful strengths upon which to build.</w:t>
      </w:r>
    </w:p>
    <w:p>
      <w:pPr>
        <w:spacing w:after="100" w:before="100"/>
        <w:ind w:firstLine="720"/>
        <w:jc w:val="both"/>
      </w:pPr>
      <w:r>
        <w:rPr>
          <w:rFonts w:ascii="Times New Roman" w:cs="Times New Roman" w:eastAsia="Times New Roman" w:hAnsi="Times New Roman"/>
          <w:sz w:val="24"/>
          <w:szCs w:val="24"/>
        </w:rPr>
        <w:t xml:space="preserve">The most urgent finding is the twenty-four percent attrition rate, which affects the organization across all departments and salary bands and places it meaningfully above industry norms. This rate, combined with the classification of thirty-one point six percent of the workforce as High Risk, represents an organizational challenge of sufficient scale to warrant executive-level prioritization and sustained investment in retention strategy.</w:t>
      </w:r>
    </w:p>
    <w:p>
      <w:pPr>
        <w:spacing w:after="100" w:before="100"/>
        <w:ind w:firstLine="720"/>
        <w:jc w:val="both"/>
      </w:pPr>
      <w:r>
        <w:rPr>
          <w:rFonts w:ascii="Times New Roman" w:cs="Times New Roman" w:eastAsia="Times New Roman" w:hAnsi="Times New Roman"/>
          <w:sz w:val="24"/>
          <w:szCs w:val="24"/>
        </w:rPr>
        <w:t xml:space="preserve">The most counterintuitive finding is the superior satisfaction and performance of remote employees compared to their on-premise counterparts. This finding challenges conventional management assumptions and provides a compelling evidence base for expanding remote work access as a strategic workforce tool rather than a reluctant concession to employee preference.</w:t>
      </w:r>
    </w:p>
    <w:p>
      <w:pPr>
        <w:spacing w:after="100" w:before="100"/>
        <w:ind w:firstLine="720"/>
        <w:jc w:val="both"/>
      </w:pPr>
      <w:r>
        <w:rPr>
          <w:rFonts w:ascii="Times New Roman" w:cs="Times New Roman" w:eastAsia="Times New Roman" w:hAnsi="Times New Roman"/>
          <w:sz w:val="24"/>
          <w:szCs w:val="24"/>
        </w:rPr>
        <w:t xml:space="preserve">The most promising finding is the presence of three thousand nine hundred and ninety-eight Star Employees, representing more than a quarter of the workforce. These individuals demonstrate that high performance and high engagement are achievable within the organizational context, and their existence provides both a benchmark and a foundation for broader talent development efforts.</w:t>
      </w:r>
    </w:p>
    <w:p>
      <w:pPr>
        <w:spacing w:after="100" w:before="100"/>
        <w:ind w:firstLine="720"/>
        <w:jc w:val="both"/>
      </w:pPr>
      <w:r>
        <w:rPr>
          <w:rFonts w:ascii="Times New Roman" w:cs="Times New Roman" w:eastAsia="Times New Roman" w:hAnsi="Times New Roman"/>
          <w:sz w:val="24"/>
          <w:szCs w:val="24"/>
        </w:rPr>
        <w:t xml:space="preserve">The recommendations offered in this report are grounded in the evidence produced by the analysis and are calibrated to the organizational realities reflected in the data. They range from urgent interventions requiring immediate action, such as the High Risk employee retention program and the Operations department review, to longer-term structural improvements that will yield returns over multiple periods.</w:t>
      </w:r>
    </w:p>
    <w:p>
      <w:pPr>
        <w:spacing w:after="100" w:before="100"/>
        <w:ind w:firstLine="720"/>
        <w:jc w:val="both"/>
      </w:pPr>
      <w:r>
        <w:rPr>
          <w:rFonts w:ascii="Times New Roman" w:cs="Times New Roman" w:eastAsia="Times New Roman" w:hAnsi="Times New Roman"/>
          <w:sz w:val="24"/>
          <w:szCs w:val="24"/>
        </w:rPr>
        <w:t xml:space="preserve">The dashboard itself, as a living analytical tool, provides the organization with a mechanism for ongoing monitoring of these priorities. As the workforce evolves and interventions take effect, the dashboard can be refreshed with updated data to track progress, identify new risk concentrations, and measure the return on retention investments.</w:t>
      </w:r>
    </w:p>
    <w:p>
      <w:pPr>
        <w:spacing w:after="300" w:before="300"/>
        <w:jc w:val="center"/>
      </w:pPr>
      <w:r>
        <w:t xml:space="preserve">* * *</w:t>
      </w:r>
    </w:p>
    <w:p>
      <w:pPr>
        <w:spacing w:after="100" w:before="100"/>
        <w:jc w:val="center"/>
      </w:pPr>
      <w:r>
        <w:rPr>
          <w:rFonts w:ascii="Times New Roman" w:cs="Times New Roman" w:eastAsia="Times New Roman" w:hAnsi="Times New Roman"/>
          <w:b/>
          <w:bCs/>
          <w:sz w:val="22"/>
          <w:szCs w:val="22"/>
        </w:rPr>
        <w:t xml:space="preserve">End of Report</w:t>
      </w:r>
    </w:p>
    <w:p>
      <w:pPr>
        <w:spacing w:after="0" w:before="60"/>
        <w:jc w:val="center"/>
      </w:pPr>
      <w:r>
        <w:rPr>
          <w:rFonts w:ascii="Times New Roman" w:cs="Times New Roman" w:eastAsia="Times New Roman" w:hAnsi="Times New Roman"/>
          <w:i/>
          <w:iCs/>
          <w:sz w:val="20"/>
          <w:szCs w:val="20"/>
        </w:rPr>
        <w:t xml:space="preserve">HR Engagement Analytics Dashboard  |  Analyst: Nadia  |  Microsoft Power BI  |  July 2026</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2026-07-05T17:52:54.833Z</dcterms:created>
  <dcterms:modified xsi:type="dcterms:W3CDTF">2026-07-05T17:52:54.846Z</dcterms:modified>
</cp:coreProperties>
</file>

<file path=docProps/custom.xml><?xml version="1.0" encoding="utf-8"?>
<Properties xmlns="http://schemas.openxmlformats.org/officeDocument/2006/custom-properties" xmlns:vt="http://schemas.openxmlformats.org/officeDocument/2006/docPropsVTypes"/>
</file>