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5A8C" w14:textId="77777777" w:rsidR="00CE2DBA" w:rsidRDefault="00DC1BDE">
      <w:pPr>
        <w:spacing w:after="80"/>
      </w:pPr>
      <w:r>
        <w:rPr>
          <w:b/>
          <w:bCs/>
          <w:color w:val="0B1F3A"/>
          <w:sz w:val="52"/>
          <w:szCs w:val="52"/>
        </w:rPr>
        <w:t>BEVERAGE SALES</w:t>
      </w:r>
    </w:p>
    <w:p w14:paraId="40AE8CB1" w14:textId="77777777" w:rsidR="00CE2DBA" w:rsidRDefault="00DC1BDE">
      <w:pPr>
        <w:spacing w:after="300"/>
      </w:pPr>
      <w:r>
        <w:rPr>
          <w:b/>
          <w:bCs/>
          <w:color w:val="B8860B"/>
          <w:sz w:val="32"/>
          <w:szCs w:val="32"/>
        </w:rPr>
        <w:t>Analytical Insights Report</w:t>
      </w:r>
    </w:p>
    <w:p w14:paraId="0358485B" w14:textId="77777777" w:rsidR="00CE2DBA" w:rsidRDefault="00DC1BDE">
      <w:pPr>
        <w:spacing w:after="40"/>
      </w:pPr>
      <w:r>
        <w:rPr>
          <w:color w:val="555555"/>
        </w:rPr>
        <w:t>Prepared by: Nadia</w:t>
      </w:r>
    </w:p>
    <w:p w14:paraId="6CDC8DAB" w14:textId="77777777" w:rsidR="00CE2DBA" w:rsidRDefault="00DC1BDE">
      <w:pPr>
        <w:spacing w:after="40"/>
      </w:pPr>
      <w:r>
        <w:rPr>
          <w:color w:val="555555"/>
        </w:rPr>
        <w:t>Dataset: Synthetic Beverage Sales Data</w:t>
      </w:r>
    </w:p>
    <w:p w14:paraId="6433C551" w14:textId="77777777" w:rsidR="00CE2DBA" w:rsidRDefault="00DC1BDE">
      <w:pPr>
        <w:spacing w:after="400"/>
      </w:pPr>
      <w:r>
        <w:rPr>
          <w:color w:val="555555"/>
        </w:rPr>
        <w:t>Period covered: 2021 – 2023</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E2DBA" w14:paraId="3F9E315D"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4F6F9"/>
            <w:tcMar>
              <w:top w:w="160" w:type="dxa"/>
              <w:left w:w="120" w:type="dxa"/>
              <w:bottom w:w="160" w:type="dxa"/>
              <w:right w:w="120" w:type="dxa"/>
            </w:tcMar>
          </w:tcPr>
          <w:p w14:paraId="3125995B" w14:textId="77777777" w:rsidR="00CE2DBA" w:rsidRDefault="00DC1BDE">
            <w:pPr>
              <w:spacing w:after="60"/>
              <w:jc w:val="center"/>
            </w:pPr>
            <w:r>
              <w:rPr>
                <w:b/>
                <w:bCs/>
                <w:color w:val="0B1F3A"/>
                <w:sz w:val="32"/>
                <w:szCs w:val="32"/>
              </w:rPr>
              <w:t>$137M</w:t>
            </w:r>
          </w:p>
          <w:p w14:paraId="0A79053D" w14:textId="77777777" w:rsidR="00CE2DBA" w:rsidRDefault="00DC1BDE">
            <w:pPr>
              <w:jc w:val="center"/>
            </w:pPr>
            <w:r>
              <w:rPr>
                <w:color w:val="555555"/>
                <w:sz w:val="18"/>
                <w:szCs w:val="18"/>
              </w:rPr>
              <w:t>Total Revenue</w:t>
            </w:r>
          </w:p>
        </w:tc>
        <w:tc>
          <w:tcPr>
            <w:tcW w:w="2340" w:type="dxa"/>
            <w:tcBorders>
              <w:top w:val="single" w:sz="1" w:space="0" w:color="D9D9D9"/>
              <w:left w:val="single" w:sz="1" w:space="0" w:color="D9D9D9"/>
              <w:bottom w:val="single" w:sz="1" w:space="0" w:color="D9D9D9"/>
              <w:right w:val="single" w:sz="1" w:space="0" w:color="D9D9D9"/>
            </w:tcBorders>
            <w:shd w:val="clear" w:color="auto" w:fill="F4F6F9"/>
            <w:tcMar>
              <w:top w:w="160" w:type="dxa"/>
              <w:left w:w="120" w:type="dxa"/>
              <w:bottom w:w="160" w:type="dxa"/>
              <w:right w:w="120" w:type="dxa"/>
            </w:tcMar>
          </w:tcPr>
          <w:p w14:paraId="5FCAAC15" w14:textId="77777777" w:rsidR="00CE2DBA" w:rsidRDefault="00DC1BDE">
            <w:pPr>
              <w:spacing w:after="60"/>
              <w:jc w:val="center"/>
            </w:pPr>
            <w:r>
              <w:rPr>
                <w:b/>
                <w:bCs/>
                <w:color w:val="0B1F3A"/>
                <w:sz w:val="32"/>
                <w:szCs w:val="32"/>
              </w:rPr>
              <w:t>349K</w:t>
            </w:r>
          </w:p>
          <w:p w14:paraId="7D3880EF" w14:textId="77777777" w:rsidR="00CE2DBA" w:rsidRDefault="00DC1BDE">
            <w:pPr>
              <w:jc w:val="center"/>
            </w:pPr>
            <w:r>
              <w:rPr>
                <w:color w:val="555555"/>
                <w:sz w:val="18"/>
                <w:szCs w:val="18"/>
              </w:rPr>
              <w:t>Total Orders</w:t>
            </w:r>
          </w:p>
        </w:tc>
        <w:tc>
          <w:tcPr>
            <w:tcW w:w="2340" w:type="dxa"/>
            <w:tcBorders>
              <w:top w:val="single" w:sz="1" w:space="0" w:color="D9D9D9"/>
              <w:left w:val="single" w:sz="1" w:space="0" w:color="D9D9D9"/>
              <w:bottom w:val="single" w:sz="1" w:space="0" w:color="D9D9D9"/>
              <w:right w:val="single" w:sz="1" w:space="0" w:color="D9D9D9"/>
            </w:tcBorders>
            <w:shd w:val="clear" w:color="auto" w:fill="F4F6F9"/>
            <w:tcMar>
              <w:top w:w="160" w:type="dxa"/>
              <w:left w:w="120" w:type="dxa"/>
              <w:bottom w:w="160" w:type="dxa"/>
              <w:right w:w="120" w:type="dxa"/>
            </w:tcMar>
          </w:tcPr>
          <w:p w14:paraId="7BB752D2" w14:textId="77777777" w:rsidR="00CE2DBA" w:rsidRDefault="00DC1BDE">
            <w:pPr>
              <w:spacing w:after="60"/>
              <w:jc w:val="center"/>
            </w:pPr>
            <w:r>
              <w:rPr>
                <w:b/>
                <w:bCs/>
                <w:color w:val="0B1F3A"/>
                <w:sz w:val="32"/>
                <w:szCs w:val="32"/>
              </w:rPr>
              <w:t>10K</w:t>
            </w:r>
          </w:p>
          <w:p w14:paraId="42F14830" w14:textId="77777777" w:rsidR="00CE2DBA" w:rsidRDefault="00DC1BDE">
            <w:pPr>
              <w:jc w:val="center"/>
            </w:pPr>
            <w:r>
              <w:rPr>
                <w:color w:val="555555"/>
                <w:sz w:val="18"/>
                <w:szCs w:val="18"/>
              </w:rPr>
              <w:t>Total Customers</w:t>
            </w:r>
          </w:p>
        </w:tc>
        <w:tc>
          <w:tcPr>
            <w:tcW w:w="2340" w:type="dxa"/>
            <w:tcBorders>
              <w:top w:val="single" w:sz="1" w:space="0" w:color="D9D9D9"/>
              <w:left w:val="single" w:sz="1" w:space="0" w:color="D9D9D9"/>
              <w:bottom w:val="single" w:sz="1" w:space="0" w:color="D9D9D9"/>
              <w:right w:val="single" w:sz="1" w:space="0" w:color="D9D9D9"/>
            </w:tcBorders>
            <w:shd w:val="clear" w:color="auto" w:fill="F4F6F9"/>
            <w:tcMar>
              <w:top w:w="160" w:type="dxa"/>
              <w:left w:w="120" w:type="dxa"/>
              <w:bottom w:w="160" w:type="dxa"/>
              <w:right w:w="120" w:type="dxa"/>
            </w:tcMar>
          </w:tcPr>
          <w:p w14:paraId="3D6B23B1" w14:textId="77777777" w:rsidR="00CE2DBA" w:rsidRDefault="00DC1BDE">
            <w:pPr>
              <w:spacing w:after="60"/>
              <w:jc w:val="center"/>
            </w:pPr>
            <w:r>
              <w:rPr>
                <w:b/>
                <w:bCs/>
                <w:color w:val="0B1F3A"/>
                <w:sz w:val="32"/>
                <w:szCs w:val="32"/>
              </w:rPr>
              <w:t>$393</w:t>
            </w:r>
          </w:p>
          <w:p w14:paraId="5245175D" w14:textId="77777777" w:rsidR="00CE2DBA" w:rsidRDefault="00DC1BDE">
            <w:pPr>
              <w:jc w:val="center"/>
            </w:pPr>
            <w:r>
              <w:rPr>
                <w:color w:val="555555"/>
                <w:sz w:val="18"/>
                <w:szCs w:val="18"/>
              </w:rPr>
              <w:t>Avg. Order Value</w:t>
            </w:r>
          </w:p>
        </w:tc>
      </w:tr>
    </w:tbl>
    <w:p w14:paraId="32D889D0" w14:textId="77777777" w:rsidR="00CE2DBA" w:rsidRDefault="00CE2DBA">
      <w:pPr>
        <w:spacing w:before="400"/>
      </w:pPr>
    </w:p>
    <w:p w14:paraId="382BBFEA" w14:textId="77777777" w:rsidR="00CE2DBA" w:rsidRDefault="00DC1BDE">
      <w:pPr>
        <w:pStyle w:val="Heading1"/>
      </w:pPr>
      <w:r>
        <w:t>1. Executive Summary</w:t>
      </w:r>
    </w:p>
    <w:p w14:paraId="016E3533" w14:textId="77777777" w:rsidR="00CE2DBA" w:rsidRDefault="00DC1BDE">
      <w:pPr>
        <w:spacing w:after="160" w:line="300" w:lineRule="auto"/>
      </w:pPr>
      <w:r>
        <w:t>This report summarizes key findings from an analysis of synthetic beverage sales data covering orders, customers, products, regions, and discounts between 2021 and 2023. The dataset includes 349 thousand orders generated by roughly 10 thousand customers, producing approximately $137 million in total revenue across four beverage categories: Alcoholic Beverages, Juices, Soft Drinks, and Water.</w:t>
      </w:r>
    </w:p>
    <w:p w14:paraId="7BFB9A0C" w14:textId="77777777" w:rsidR="00CE2DBA" w:rsidRDefault="00DC1BDE">
      <w:pPr>
        <w:spacing w:after="160" w:line="300" w:lineRule="auto"/>
      </w:pPr>
      <w:r>
        <w:t>The analysis highlights three central patterns: revenue is heavily concentrated in the Alcoholic Beverages category, B2B customers generate disproportionately higher order values than B2C customers despite being a smaller share of the customer base, and sales performance varies meaningfully by German region, with a handful of regions consistently outperforming the rest.</w:t>
      </w:r>
    </w:p>
    <w:p w14:paraId="7E51CB39" w14:textId="77777777" w:rsidR="00CE2DBA" w:rsidRDefault="00DC1BDE">
      <w:pPr>
        <w:pStyle w:val="Heading1"/>
      </w:pPr>
      <w:r>
        <w:t>2. Revenue and Sales Performance</w:t>
      </w:r>
    </w:p>
    <w:p w14:paraId="22EE41AB" w14:textId="77777777" w:rsidR="00CE2DBA" w:rsidRDefault="00DC1BDE">
      <w:pPr>
        <w:pStyle w:val="Heading2"/>
      </w:pPr>
      <w:r>
        <w:t>2.1 Overall Performance</w:t>
      </w:r>
    </w:p>
    <w:p w14:paraId="295A0F9E" w14:textId="77777777" w:rsidR="00CE2DBA" w:rsidRDefault="00DC1BDE">
      <w:pPr>
        <w:spacing w:after="160" w:line="300" w:lineRule="auto"/>
      </w:pPr>
      <w:r>
        <w:t>Total revenue across the analyzed period reached approximately $137 million, generated from 349 thousand orders. The average order value across all customers is roughly $393, while total discounts issued amounted to approximately $11 million, representing close to 8% of gross revenue.</w:t>
      </w:r>
    </w:p>
    <w:p w14:paraId="7F15F9B6" w14:textId="77777777" w:rsidR="00CE2DBA" w:rsidRDefault="00DC1BDE">
      <w:pPr>
        <w:pStyle w:val="Heading2"/>
      </w:pPr>
      <w:r>
        <w:t>2.2 Monthly Trend</w:t>
      </w:r>
    </w:p>
    <w:p w14:paraId="0919A8BE" w14:textId="77777777" w:rsidR="00CE2DBA" w:rsidRDefault="00DC1BDE">
      <w:pPr>
        <w:spacing w:after="160" w:line="300" w:lineRule="auto"/>
      </w:pPr>
      <w:r>
        <w:t>Revenue by month shows clear fluctuation rather than a steady upward or downward trend. A notable dip occurs in February, followed by a partial recovery in March and a generally elevated plateau between May and September. December shows the strongest single-month performance in the data, consistent with seasonal demand patterns common in beverage retail.</w:t>
      </w:r>
    </w:p>
    <w:p w14:paraId="386B2A9C" w14:textId="77777777" w:rsidR="00CE2DBA" w:rsidRDefault="00DC1BDE">
      <w:pPr>
        <w:pStyle w:val="ListParagraph"/>
        <w:numPr>
          <w:ilvl w:val="0"/>
          <w:numId w:val="2"/>
        </w:numPr>
        <w:spacing w:after="80"/>
      </w:pPr>
      <w:r>
        <w:t>Lowest month: February — a pronounced dip relative to surrounding months.</w:t>
      </w:r>
    </w:p>
    <w:p w14:paraId="024E753F" w14:textId="77777777" w:rsidR="00CE2DBA" w:rsidRDefault="00DC1BDE">
      <w:pPr>
        <w:pStyle w:val="ListParagraph"/>
        <w:numPr>
          <w:ilvl w:val="0"/>
          <w:numId w:val="2"/>
        </w:numPr>
        <w:spacing w:after="80"/>
      </w:pPr>
      <w:r>
        <w:t>Strongest month: December — the highest revenue point in the yearly cycle.</w:t>
      </w:r>
    </w:p>
    <w:p w14:paraId="16F4ABCF" w14:textId="77777777" w:rsidR="00CE2DBA" w:rsidRDefault="00DC1BDE">
      <w:pPr>
        <w:pStyle w:val="ListParagraph"/>
        <w:numPr>
          <w:ilvl w:val="0"/>
          <w:numId w:val="2"/>
        </w:numPr>
        <w:spacing w:after="80"/>
      </w:pPr>
      <w:r>
        <w:t>Mid-year months (May–September) maintain a stable, moderately elevated revenue band.</w:t>
      </w:r>
    </w:p>
    <w:p w14:paraId="436FE756" w14:textId="77777777" w:rsidR="00CE2DBA" w:rsidRDefault="00DC1BDE">
      <w:pPr>
        <w:pStyle w:val="Heading1"/>
      </w:pPr>
      <w:r>
        <w:t>3. Category and Product Insights</w:t>
      </w:r>
    </w:p>
    <w:p w14:paraId="370AB57F" w14:textId="77777777" w:rsidR="00CE2DBA" w:rsidRDefault="00DC1BDE">
      <w:pPr>
        <w:pStyle w:val="Heading2"/>
      </w:pPr>
      <w:r>
        <w:t>3.1 Revenue by Category</w:t>
      </w:r>
    </w:p>
    <w:p w14:paraId="30E18827" w14:textId="77777777" w:rsidR="00CE2DBA" w:rsidRDefault="00DC1BDE">
      <w:pPr>
        <w:spacing w:after="160" w:line="300" w:lineRule="auto"/>
      </w:pPr>
      <w:r>
        <w:t>Alcoholic Beverages dominate total revenue, accounting for the large majority of the category breakdown, while Juices, Soft Drinks, and Water together make up a comparatively small share. This concentration suggests that premium or higher-margin alcoholic products are the primary revenue driver, even though they may not represent the highest sales volume.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E2DBA" w14:paraId="586FC4B3" w14:textId="77777777">
        <w:tblPrEx>
          <w:tblCellMar>
            <w:top w:w="0" w:type="dxa"/>
            <w:bottom w:w="0" w:type="dxa"/>
          </w:tblCellMar>
        </w:tblPrEx>
        <w:trPr>
          <w:tblHeader/>
        </w:trPr>
        <w:tc>
          <w:tcPr>
            <w:tcW w:w="3120" w:type="dxa"/>
            <w:tcBorders>
              <w:top w:val="single" w:sz="1" w:space="0" w:color="D9D9D9"/>
              <w:left w:val="single" w:sz="1" w:space="0" w:color="D9D9D9"/>
              <w:bottom w:val="single" w:sz="1" w:space="0" w:color="D9D9D9"/>
              <w:right w:val="single" w:sz="1" w:space="0" w:color="D9D9D9"/>
            </w:tcBorders>
            <w:shd w:val="clear" w:color="auto" w:fill="0B1F3A"/>
            <w:tcMar>
              <w:top w:w="100" w:type="dxa"/>
              <w:left w:w="120" w:type="dxa"/>
              <w:bottom w:w="100" w:type="dxa"/>
              <w:right w:w="120" w:type="dxa"/>
            </w:tcMar>
          </w:tcPr>
          <w:p w14:paraId="573110CA" w14:textId="77777777" w:rsidR="00CE2DBA" w:rsidRDefault="00DC1BDE">
            <w:r>
              <w:rPr>
                <w:b/>
                <w:bCs/>
                <w:color w:val="FFFFFF"/>
                <w:sz w:val="20"/>
                <w:szCs w:val="20"/>
              </w:rPr>
              <w:t>Category</w:t>
            </w:r>
          </w:p>
        </w:tc>
        <w:tc>
          <w:tcPr>
            <w:tcW w:w="3120" w:type="dxa"/>
            <w:tcBorders>
              <w:top w:val="single" w:sz="1" w:space="0" w:color="D9D9D9"/>
              <w:left w:val="single" w:sz="1" w:space="0" w:color="D9D9D9"/>
              <w:bottom w:val="single" w:sz="1" w:space="0" w:color="D9D9D9"/>
              <w:right w:val="single" w:sz="1" w:space="0" w:color="D9D9D9"/>
            </w:tcBorders>
            <w:shd w:val="clear" w:color="auto" w:fill="0B1F3A"/>
            <w:tcMar>
              <w:top w:w="100" w:type="dxa"/>
              <w:left w:w="120" w:type="dxa"/>
              <w:bottom w:w="100" w:type="dxa"/>
              <w:right w:w="120" w:type="dxa"/>
            </w:tcMar>
          </w:tcPr>
          <w:p w14:paraId="105E004F" w14:textId="77777777" w:rsidR="00CE2DBA" w:rsidRDefault="00DC1BDE">
            <w:r>
              <w:rPr>
                <w:b/>
                <w:bCs/>
                <w:color w:val="FFFFFF"/>
                <w:sz w:val="20"/>
                <w:szCs w:val="20"/>
              </w:rPr>
              <w:t>Revenue Share</w:t>
            </w:r>
          </w:p>
        </w:tc>
        <w:tc>
          <w:tcPr>
            <w:tcW w:w="3120" w:type="dxa"/>
            <w:tcBorders>
              <w:top w:val="single" w:sz="1" w:space="0" w:color="D9D9D9"/>
              <w:left w:val="single" w:sz="1" w:space="0" w:color="D9D9D9"/>
              <w:bottom w:val="single" w:sz="1" w:space="0" w:color="D9D9D9"/>
              <w:right w:val="single" w:sz="1" w:space="0" w:color="D9D9D9"/>
            </w:tcBorders>
            <w:shd w:val="clear" w:color="auto" w:fill="0B1F3A"/>
            <w:tcMar>
              <w:top w:w="100" w:type="dxa"/>
              <w:left w:w="120" w:type="dxa"/>
              <w:bottom w:w="100" w:type="dxa"/>
              <w:right w:w="120" w:type="dxa"/>
            </w:tcMar>
          </w:tcPr>
          <w:p w14:paraId="013E91E6" w14:textId="77777777" w:rsidR="00CE2DBA" w:rsidRDefault="00DC1BDE">
            <w:r>
              <w:rPr>
                <w:b/>
                <w:bCs/>
                <w:color w:val="FFFFFF"/>
                <w:sz w:val="20"/>
                <w:szCs w:val="20"/>
              </w:rPr>
              <w:t>Notes</w:t>
            </w:r>
          </w:p>
        </w:tc>
      </w:tr>
      <w:tr w:rsidR="00CE2DBA" w14:paraId="528B214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52D9DDF2" w14:textId="77777777" w:rsidR="00CE2DBA" w:rsidRDefault="00DC1BDE">
            <w:r>
              <w:rPr>
                <w:sz w:val="20"/>
                <w:szCs w:val="20"/>
              </w:rPr>
              <w:t>Alcoholic Beverages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0B2466D5" w14:textId="77777777" w:rsidR="00CE2DBA" w:rsidRDefault="00DC1BDE">
            <w:r>
              <w:rPr>
                <w:sz w:val="20"/>
                <w:szCs w:val="20"/>
              </w:rPr>
              <w:t>Majority share (~70%+)</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0E89ABA9" w14:textId="77777777" w:rsidR="00CE2DBA" w:rsidRDefault="00DC1BDE">
            <w:r>
              <w:rPr>
                <w:sz w:val="20"/>
                <w:szCs w:val="20"/>
              </w:rPr>
              <w:t>Primary revenue driver</w:t>
            </w:r>
          </w:p>
        </w:tc>
      </w:tr>
      <w:tr w:rsidR="00CE2DBA" w14:paraId="7F37A13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4F6F9"/>
            <w:tcMar>
              <w:top w:w="90" w:type="dxa"/>
              <w:left w:w="120" w:type="dxa"/>
              <w:bottom w:w="90" w:type="dxa"/>
              <w:right w:w="120" w:type="dxa"/>
            </w:tcMar>
          </w:tcPr>
          <w:p w14:paraId="3E895593" w14:textId="77777777" w:rsidR="00CE2DBA" w:rsidRDefault="00DC1BDE">
            <w:r>
              <w:rPr>
                <w:sz w:val="20"/>
                <w:szCs w:val="20"/>
              </w:rPr>
              <w:t>Juices</w:t>
            </w:r>
          </w:p>
        </w:tc>
        <w:tc>
          <w:tcPr>
            <w:tcW w:w="3120" w:type="dxa"/>
            <w:tcBorders>
              <w:top w:val="single" w:sz="1" w:space="0" w:color="D9D9D9"/>
              <w:left w:val="single" w:sz="1" w:space="0" w:color="D9D9D9"/>
              <w:bottom w:val="single" w:sz="1" w:space="0" w:color="D9D9D9"/>
              <w:right w:val="single" w:sz="1" w:space="0" w:color="D9D9D9"/>
            </w:tcBorders>
            <w:shd w:val="clear" w:color="auto" w:fill="F4F6F9"/>
            <w:tcMar>
              <w:top w:w="90" w:type="dxa"/>
              <w:left w:w="120" w:type="dxa"/>
              <w:bottom w:w="90" w:type="dxa"/>
              <w:right w:w="120" w:type="dxa"/>
            </w:tcMar>
          </w:tcPr>
          <w:p w14:paraId="35A4B0A2" w14:textId="77777777" w:rsidR="00CE2DBA" w:rsidRDefault="00DC1BDE">
            <w:r>
              <w:rPr>
                <w:sz w:val="20"/>
                <w:szCs w:val="20"/>
              </w:rPr>
              <w:t>Moderate</w:t>
            </w:r>
          </w:p>
        </w:tc>
        <w:tc>
          <w:tcPr>
            <w:tcW w:w="3120" w:type="dxa"/>
            <w:tcBorders>
              <w:top w:val="single" w:sz="1" w:space="0" w:color="D9D9D9"/>
              <w:left w:val="single" w:sz="1" w:space="0" w:color="D9D9D9"/>
              <w:bottom w:val="single" w:sz="1" w:space="0" w:color="D9D9D9"/>
              <w:right w:val="single" w:sz="1" w:space="0" w:color="D9D9D9"/>
            </w:tcBorders>
            <w:shd w:val="clear" w:color="auto" w:fill="F4F6F9"/>
            <w:tcMar>
              <w:top w:w="90" w:type="dxa"/>
              <w:left w:w="120" w:type="dxa"/>
              <w:bottom w:w="90" w:type="dxa"/>
              <w:right w:w="120" w:type="dxa"/>
            </w:tcMar>
          </w:tcPr>
          <w:p w14:paraId="0A191497" w14:textId="77777777" w:rsidR="00CE2DBA" w:rsidRDefault="00DC1BDE">
            <w:r>
              <w:rPr>
                <w:sz w:val="20"/>
                <w:szCs w:val="20"/>
              </w:rPr>
              <w:t>Stable contributor</w:t>
            </w:r>
          </w:p>
        </w:tc>
      </w:tr>
      <w:tr w:rsidR="00CE2DBA" w14:paraId="0B2C65E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1431D72A" w14:textId="77777777" w:rsidR="00CE2DBA" w:rsidRDefault="00DC1BDE">
            <w:r>
              <w:rPr>
                <w:sz w:val="20"/>
                <w:szCs w:val="20"/>
              </w:rPr>
              <w:t>Soft Drinks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571821AD" w14:textId="77777777" w:rsidR="00CE2DBA" w:rsidRDefault="00DC1BDE">
            <w:r>
              <w:rPr>
                <w:sz w:val="20"/>
                <w:szCs w:val="20"/>
              </w:rPr>
              <w:t>Moderate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53D0C542" w14:textId="77777777" w:rsidR="00CE2DBA" w:rsidRDefault="00DC1BDE">
            <w:r>
              <w:rPr>
                <w:sz w:val="20"/>
                <w:szCs w:val="20"/>
              </w:rPr>
              <w:t>High volume, lower price point</w:t>
            </w:r>
          </w:p>
        </w:tc>
      </w:tr>
      <w:tr w:rsidR="00CE2DBA" w14:paraId="6759DBF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4F6F9"/>
            <w:tcMar>
              <w:top w:w="90" w:type="dxa"/>
              <w:left w:w="120" w:type="dxa"/>
              <w:bottom w:w="90" w:type="dxa"/>
              <w:right w:w="120" w:type="dxa"/>
            </w:tcMar>
          </w:tcPr>
          <w:p w14:paraId="414DD1C4" w14:textId="77777777" w:rsidR="00CE2DBA" w:rsidRDefault="00DC1BDE">
            <w:r>
              <w:rPr>
                <w:sz w:val="20"/>
                <w:szCs w:val="20"/>
              </w:rPr>
              <w:t>Water</w:t>
            </w:r>
          </w:p>
        </w:tc>
        <w:tc>
          <w:tcPr>
            <w:tcW w:w="3120" w:type="dxa"/>
            <w:tcBorders>
              <w:top w:val="single" w:sz="1" w:space="0" w:color="D9D9D9"/>
              <w:left w:val="single" w:sz="1" w:space="0" w:color="D9D9D9"/>
              <w:bottom w:val="single" w:sz="1" w:space="0" w:color="D9D9D9"/>
              <w:right w:val="single" w:sz="1" w:space="0" w:color="D9D9D9"/>
            </w:tcBorders>
            <w:shd w:val="clear" w:color="auto" w:fill="F4F6F9"/>
            <w:tcMar>
              <w:top w:w="90" w:type="dxa"/>
              <w:left w:w="120" w:type="dxa"/>
              <w:bottom w:w="90" w:type="dxa"/>
              <w:right w:w="120" w:type="dxa"/>
            </w:tcMar>
          </w:tcPr>
          <w:p w14:paraId="6175224B" w14:textId="77777777" w:rsidR="00CE2DBA" w:rsidRDefault="00DC1BDE">
            <w:r>
              <w:rPr>
                <w:sz w:val="20"/>
                <w:szCs w:val="20"/>
              </w:rPr>
              <w:t>Smallest share</w:t>
            </w:r>
          </w:p>
        </w:tc>
        <w:tc>
          <w:tcPr>
            <w:tcW w:w="3120" w:type="dxa"/>
            <w:tcBorders>
              <w:top w:val="single" w:sz="1" w:space="0" w:color="D9D9D9"/>
              <w:left w:val="single" w:sz="1" w:space="0" w:color="D9D9D9"/>
              <w:bottom w:val="single" w:sz="1" w:space="0" w:color="D9D9D9"/>
              <w:right w:val="single" w:sz="1" w:space="0" w:color="D9D9D9"/>
            </w:tcBorders>
            <w:shd w:val="clear" w:color="auto" w:fill="F4F6F9"/>
            <w:tcMar>
              <w:top w:w="90" w:type="dxa"/>
              <w:left w:w="120" w:type="dxa"/>
              <w:bottom w:w="90" w:type="dxa"/>
              <w:right w:w="120" w:type="dxa"/>
            </w:tcMar>
          </w:tcPr>
          <w:p w14:paraId="65B18C22" w14:textId="77777777" w:rsidR="00CE2DBA" w:rsidRDefault="00DC1BDE">
            <w:r>
              <w:rPr>
                <w:sz w:val="20"/>
                <w:szCs w:val="20"/>
              </w:rPr>
              <w:t>Lowest revenue contribution</w:t>
            </w:r>
          </w:p>
        </w:tc>
      </w:tr>
    </w:tbl>
    <w:p w14:paraId="7D58E7AC" w14:textId="77777777" w:rsidR="00CE2DBA" w:rsidRDefault="00CE2DBA">
      <w:pPr>
        <w:spacing w:before="240"/>
      </w:pPr>
    </w:p>
    <w:p w14:paraId="56BCBA3A" w14:textId="77777777" w:rsidR="00CE2DBA" w:rsidRDefault="00DC1BDE">
      <w:pPr>
        <w:pStyle w:val="Heading2"/>
      </w:pPr>
      <w:r>
        <w:t>3.2 Top Products</w:t>
      </w:r>
    </w:p>
    <w:p w14:paraId="21412FF1" w14:textId="77777777" w:rsidR="00CE2DBA" w:rsidRDefault="00DC1BDE">
      <w:pPr>
        <w:spacing w:after="160" w:line="300" w:lineRule="auto"/>
      </w:pPr>
      <w:r>
        <w:t xml:space="preserve">Among individual products, premium alcoholic brands such as Moët &amp; </w:t>
      </w:r>
      <w:proofErr w:type="spellStart"/>
      <w:r>
        <w:t>Chandon</w:t>
      </w:r>
      <w:proofErr w:type="spellEnd"/>
      <w:r>
        <w:t xml:space="preserve">, </w:t>
      </w:r>
      <w:proofErr w:type="spellStart"/>
      <w:r>
        <w:t>Veuve</w:t>
      </w:r>
      <w:proofErr w:type="spellEnd"/>
      <w:r>
        <w:t xml:space="preserve"> </w:t>
      </w:r>
      <w:proofErr w:type="spellStart"/>
      <w:r>
        <w:t>Clicquot</w:t>
      </w:r>
      <w:proofErr w:type="spellEnd"/>
      <w:r>
        <w:t xml:space="preserve">, Johnnie Walker, Jack Daniels, and Tanqueray account for the largest discount amounts issued, which aligns with their higher unit prices. By contrast, when ranked by quantity sold rather than revenue, water and soft drink products such as </w:t>
      </w:r>
      <w:proofErr w:type="spellStart"/>
      <w:r>
        <w:t>Vio</w:t>
      </w:r>
      <w:proofErr w:type="spellEnd"/>
      <w:r>
        <w:t xml:space="preserve"> </w:t>
      </w:r>
      <w:proofErr w:type="spellStart"/>
      <w:r>
        <w:t>Wasser</w:t>
      </w:r>
      <w:proofErr w:type="spellEnd"/>
      <w:r>
        <w:t xml:space="preserve">, </w:t>
      </w:r>
      <w:proofErr w:type="spellStart"/>
      <w:r>
        <w:t>Volvic</w:t>
      </w:r>
      <w:proofErr w:type="spellEnd"/>
      <w:r>
        <w:t xml:space="preserve"> Touch, </w:t>
      </w:r>
      <w:proofErr w:type="spellStart"/>
      <w:r>
        <w:t>Vittel</w:t>
      </w:r>
      <w:proofErr w:type="spellEnd"/>
      <w:r>
        <w:t xml:space="preserve">, and </w:t>
      </w:r>
      <w:proofErr w:type="spellStart"/>
      <w:r>
        <w:t>Selters</w:t>
      </w:r>
      <w:proofErr w:type="spellEnd"/>
      <w:r>
        <w:t xml:space="preserve"> lead — confirming that high-volume, low-price products and high-value, low-volume products serve different roles in the overall sales mix.</w:t>
      </w:r>
    </w:p>
    <w:p w14:paraId="5CD90777" w14:textId="77777777" w:rsidR="00CE2DBA" w:rsidRDefault="00DC1BDE">
      <w:pPr>
        <w:pStyle w:val="Heading2"/>
      </w:pPr>
      <w:r>
        <w:t>3.3 Quantity vs. Revenue</w:t>
      </w:r>
    </w:p>
    <w:p w14:paraId="0D00550C" w14:textId="77777777" w:rsidR="00CE2DBA" w:rsidRDefault="00DC1BDE">
      <w:pPr>
        <w:spacing w:after="160" w:line="300" w:lineRule="auto"/>
      </w:pPr>
      <w:r>
        <w:t>The scatter comparison of revenue against discount amount by category shows Alcoholic Beverages clustered at higher revenue and higher discount values, while Water and Soft Drinks cluster near the lower end of both measures. This pattern indicates that discounting strategy is currently concentrated on already high-revenue products rather than being used to stimulate volume in lower-performing categories.</w:t>
      </w:r>
    </w:p>
    <w:p w14:paraId="60CB67A7" w14:textId="77777777" w:rsidR="00CE2DBA" w:rsidRDefault="00DC1BDE">
      <w:pPr>
        <w:pStyle w:val="Heading1"/>
      </w:pPr>
      <w:r>
        <w:t>4. Regional Insights</w:t>
      </w:r>
    </w:p>
    <w:p w14:paraId="765457A4" w14:textId="77777777" w:rsidR="00CE2DBA" w:rsidRDefault="00DC1BDE">
      <w:pPr>
        <w:spacing w:after="160" w:line="300" w:lineRule="auto"/>
      </w:pPr>
      <w:r>
        <w:t xml:space="preserve">Revenue is distributed across all 16 German regions represented in the dataset, with Hamburg, Hessen, and Mecklenburg-Vorpommern emerging as the top three performers by total revenue. Saarland, </w:t>
      </w:r>
      <w:proofErr w:type="spellStart"/>
      <w:r>
        <w:t>Rheinland</w:t>
      </w:r>
      <w:proofErr w:type="spellEnd"/>
      <w:r>
        <w:t>-Pfalz, and Berlin form a closely grouped second tier, while Niedersachsen and Brandenburg sit at the lower end of the regional ranking.</w:t>
      </w:r>
    </w:p>
    <w:p w14:paraId="1CB336F3" w14:textId="77777777" w:rsidR="00CE2DBA" w:rsidRDefault="00DC1BDE">
      <w:pPr>
        <w:spacing w:after="160" w:line="300" w:lineRule="auto"/>
      </w:pPr>
      <w:r>
        <w:t>The relatively narrow gap between the highest- and lowest-performing regions suggests demand is fairly evenly distributed geographically, rather than being concentrated in one or two dominant markets. This is a favorable signal for scaling marketing or distribution efforts nationally rather than focusing only on a small number of regions.</w:t>
      </w:r>
    </w:p>
    <w:p w14:paraId="224FD23C" w14:textId="77777777" w:rsidR="00CE2DBA" w:rsidRDefault="00DC1BDE">
      <w:pPr>
        <w:pStyle w:val="Heading1"/>
      </w:pPr>
      <w:r>
        <w:t>5. Customer Insights</w:t>
      </w:r>
    </w:p>
    <w:p w14:paraId="6B4105FC" w14:textId="77777777" w:rsidR="00CE2DBA" w:rsidRDefault="00DC1BDE">
      <w:pPr>
        <w:pStyle w:val="Heading2"/>
      </w:pPr>
      <w:r>
        <w:t>5.1 Customer Segmentation</w:t>
      </w:r>
    </w:p>
    <w:p w14:paraId="388F8B9C" w14:textId="77777777" w:rsidR="00CE2DBA" w:rsidRDefault="00DC1BDE">
      <w:pPr>
        <w:spacing w:after="160" w:line="300" w:lineRule="auto"/>
      </w:pPr>
      <w:r>
        <w:t>Customers are split between B2B and B2C segments. While B2C customers represent the larger share of the customer base, B2B customers generate substantially higher revenue per order. The average order value for B2B customers is dramatically higher than for B2C customers, consistent with bulk purchasing behavior typical of business buyers such as restaurants, bars, and retailers.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E2DBA" w14:paraId="650BACB5" w14:textId="77777777">
        <w:tblPrEx>
          <w:tblCellMar>
            <w:top w:w="0" w:type="dxa"/>
            <w:bottom w:w="0" w:type="dxa"/>
          </w:tblCellMar>
        </w:tblPrEx>
        <w:trPr>
          <w:tblHeader/>
        </w:trPr>
        <w:tc>
          <w:tcPr>
            <w:tcW w:w="3120" w:type="dxa"/>
            <w:tcBorders>
              <w:top w:val="single" w:sz="1" w:space="0" w:color="D9D9D9"/>
              <w:left w:val="single" w:sz="1" w:space="0" w:color="D9D9D9"/>
              <w:bottom w:val="single" w:sz="1" w:space="0" w:color="D9D9D9"/>
              <w:right w:val="single" w:sz="1" w:space="0" w:color="D9D9D9"/>
            </w:tcBorders>
            <w:shd w:val="clear" w:color="auto" w:fill="0B1F3A"/>
            <w:tcMar>
              <w:top w:w="100" w:type="dxa"/>
              <w:left w:w="120" w:type="dxa"/>
              <w:bottom w:w="100" w:type="dxa"/>
              <w:right w:w="120" w:type="dxa"/>
            </w:tcMar>
          </w:tcPr>
          <w:p w14:paraId="75EBAB46" w14:textId="77777777" w:rsidR="00CE2DBA" w:rsidRDefault="00DC1BDE">
            <w:r>
              <w:rPr>
                <w:b/>
                <w:bCs/>
                <w:color w:val="FFFFFF"/>
                <w:sz w:val="20"/>
                <w:szCs w:val="20"/>
              </w:rPr>
              <w:t>Metric</w:t>
            </w:r>
          </w:p>
        </w:tc>
        <w:tc>
          <w:tcPr>
            <w:tcW w:w="3120" w:type="dxa"/>
            <w:tcBorders>
              <w:top w:val="single" w:sz="1" w:space="0" w:color="D9D9D9"/>
              <w:left w:val="single" w:sz="1" w:space="0" w:color="D9D9D9"/>
              <w:bottom w:val="single" w:sz="1" w:space="0" w:color="D9D9D9"/>
              <w:right w:val="single" w:sz="1" w:space="0" w:color="D9D9D9"/>
            </w:tcBorders>
            <w:shd w:val="clear" w:color="auto" w:fill="0B1F3A"/>
            <w:tcMar>
              <w:top w:w="100" w:type="dxa"/>
              <w:left w:w="120" w:type="dxa"/>
              <w:bottom w:w="100" w:type="dxa"/>
              <w:right w:w="120" w:type="dxa"/>
            </w:tcMar>
          </w:tcPr>
          <w:p w14:paraId="6D1680D5" w14:textId="77777777" w:rsidR="00CE2DBA" w:rsidRDefault="00DC1BDE">
            <w:r>
              <w:rPr>
                <w:b/>
                <w:bCs/>
                <w:color w:val="FFFFFF"/>
                <w:sz w:val="20"/>
                <w:szCs w:val="20"/>
              </w:rPr>
              <w:t>B2B</w:t>
            </w:r>
          </w:p>
        </w:tc>
        <w:tc>
          <w:tcPr>
            <w:tcW w:w="3120" w:type="dxa"/>
            <w:tcBorders>
              <w:top w:val="single" w:sz="1" w:space="0" w:color="D9D9D9"/>
              <w:left w:val="single" w:sz="1" w:space="0" w:color="D9D9D9"/>
              <w:bottom w:val="single" w:sz="1" w:space="0" w:color="D9D9D9"/>
              <w:right w:val="single" w:sz="1" w:space="0" w:color="D9D9D9"/>
            </w:tcBorders>
            <w:shd w:val="clear" w:color="auto" w:fill="0B1F3A"/>
            <w:tcMar>
              <w:top w:w="100" w:type="dxa"/>
              <w:left w:w="120" w:type="dxa"/>
              <w:bottom w:w="100" w:type="dxa"/>
              <w:right w:w="120" w:type="dxa"/>
            </w:tcMar>
          </w:tcPr>
          <w:p w14:paraId="13595482" w14:textId="77777777" w:rsidR="00CE2DBA" w:rsidRDefault="00DC1BDE">
            <w:r>
              <w:rPr>
                <w:b/>
                <w:bCs/>
                <w:color w:val="FFFFFF"/>
                <w:sz w:val="20"/>
                <w:szCs w:val="20"/>
              </w:rPr>
              <w:t>B2C</w:t>
            </w:r>
          </w:p>
        </w:tc>
      </w:tr>
      <w:tr w:rsidR="00CE2DBA" w14:paraId="5204522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0BED7F69" w14:textId="77777777" w:rsidR="00CE2DBA" w:rsidRDefault="00DC1BDE">
            <w:r>
              <w:rPr>
                <w:sz w:val="20"/>
                <w:szCs w:val="20"/>
              </w:rPr>
              <w:t>Share of Customer Count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313DA8F3" w14:textId="77777777" w:rsidR="00CE2DBA" w:rsidRDefault="00DC1BDE">
            <w:r>
              <w:rPr>
                <w:sz w:val="20"/>
                <w:szCs w:val="20"/>
              </w:rPr>
              <w:t>~36%</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258748E5" w14:textId="77777777" w:rsidR="00CE2DBA" w:rsidRDefault="00DC1BDE">
            <w:r>
              <w:rPr>
                <w:sz w:val="20"/>
                <w:szCs w:val="20"/>
              </w:rPr>
              <w:t>~64%</w:t>
            </w:r>
          </w:p>
        </w:tc>
      </w:tr>
      <w:tr w:rsidR="00CE2DBA" w14:paraId="28BA37CE"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4F6F9"/>
            <w:tcMar>
              <w:top w:w="90" w:type="dxa"/>
              <w:left w:w="120" w:type="dxa"/>
              <w:bottom w:w="90" w:type="dxa"/>
              <w:right w:w="120" w:type="dxa"/>
            </w:tcMar>
          </w:tcPr>
          <w:p w14:paraId="0ACFAD22" w14:textId="77777777" w:rsidR="00CE2DBA" w:rsidRDefault="00DC1BDE">
            <w:r>
              <w:rPr>
                <w:sz w:val="20"/>
                <w:szCs w:val="20"/>
              </w:rPr>
              <w:t>Total Revenue Contribution</w:t>
            </w:r>
          </w:p>
        </w:tc>
        <w:tc>
          <w:tcPr>
            <w:tcW w:w="3120" w:type="dxa"/>
            <w:tcBorders>
              <w:top w:val="single" w:sz="1" w:space="0" w:color="D9D9D9"/>
              <w:left w:val="single" w:sz="1" w:space="0" w:color="D9D9D9"/>
              <w:bottom w:val="single" w:sz="1" w:space="0" w:color="D9D9D9"/>
              <w:right w:val="single" w:sz="1" w:space="0" w:color="D9D9D9"/>
            </w:tcBorders>
            <w:shd w:val="clear" w:color="auto" w:fill="F4F6F9"/>
            <w:tcMar>
              <w:top w:w="90" w:type="dxa"/>
              <w:left w:w="120" w:type="dxa"/>
              <w:bottom w:w="90" w:type="dxa"/>
              <w:right w:w="120" w:type="dxa"/>
            </w:tcMar>
          </w:tcPr>
          <w:p w14:paraId="5C31AF77" w14:textId="77777777" w:rsidR="00CE2DBA" w:rsidRDefault="00DC1BDE">
            <w:r>
              <w:rPr>
                <w:sz w:val="20"/>
                <w:szCs w:val="20"/>
              </w:rPr>
              <w:t>Higher</w:t>
            </w:r>
          </w:p>
        </w:tc>
        <w:tc>
          <w:tcPr>
            <w:tcW w:w="3120" w:type="dxa"/>
            <w:tcBorders>
              <w:top w:val="single" w:sz="1" w:space="0" w:color="D9D9D9"/>
              <w:left w:val="single" w:sz="1" w:space="0" w:color="D9D9D9"/>
              <w:bottom w:val="single" w:sz="1" w:space="0" w:color="D9D9D9"/>
              <w:right w:val="single" w:sz="1" w:space="0" w:color="D9D9D9"/>
            </w:tcBorders>
            <w:shd w:val="clear" w:color="auto" w:fill="F4F6F9"/>
            <w:tcMar>
              <w:top w:w="90" w:type="dxa"/>
              <w:left w:w="120" w:type="dxa"/>
              <w:bottom w:w="90" w:type="dxa"/>
              <w:right w:w="120" w:type="dxa"/>
            </w:tcMar>
          </w:tcPr>
          <w:p w14:paraId="79255852" w14:textId="77777777" w:rsidR="00CE2DBA" w:rsidRDefault="00DC1BDE">
            <w:r>
              <w:rPr>
                <w:sz w:val="20"/>
                <w:szCs w:val="20"/>
              </w:rPr>
              <w:t>Lower</w:t>
            </w:r>
          </w:p>
        </w:tc>
      </w:tr>
      <w:tr w:rsidR="00CE2DBA" w14:paraId="5D8B472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0AFB909D" w14:textId="77777777" w:rsidR="00CE2DBA" w:rsidRDefault="00DC1BDE">
            <w:r>
              <w:rPr>
                <w:sz w:val="20"/>
                <w:szCs w:val="20"/>
              </w:rPr>
              <w:t>Average Order Value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6FE7820B" w14:textId="77777777" w:rsidR="00CE2DBA" w:rsidRDefault="00DC1BDE">
            <w:r>
              <w:rPr>
                <w:sz w:val="20"/>
                <w:szCs w:val="20"/>
              </w:rPr>
              <w:t>Significantly higher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90" w:type="dxa"/>
              <w:left w:w="120" w:type="dxa"/>
              <w:bottom w:w="90" w:type="dxa"/>
              <w:right w:w="120" w:type="dxa"/>
            </w:tcMar>
          </w:tcPr>
          <w:p w14:paraId="1F74C3E1" w14:textId="77777777" w:rsidR="00CE2DBA" w:rsidRDefault="00DC1BDE">
            <w:r>
              <w:rPr>
                <w:sz w:val="20"/>
                <w:szCs w:val="20"/>
              </w:rPr>
              <w:t>Significantly lower</w:t>
            </w:r>
          </w:p>
        </w:tc>
      </w:tr>
    </w:tbl>
    <w:p w14:paraId="4335C11E" w14:textId="77777777" w:rsidR="00CE2DBA" w:rsidRDefault="00CE2DBA">
      <w:pPr>
        <w:spacing w:before="240"/>
      </w:pPr>
    </w:p>
    <w:p w14:paraId="003E71D8" w14:textId="77777777" w:rsidR="00CE2DBA" w:rsidRDefault="00DC1BDE">
      <w:pPr>
        <w:pStyle w:val="Heading2"/>
      </w:pPr>
      <w:r>
        <w:t>5.2 Customer Value</w:t>
      </w:r>
    </w:p>
    <w:p w14:paraId="76A22C0E" w14:textId="77777777" w:rsidR="00CE2DBA" w:rsidRDefault="00DC1BDE">
      <w:pPr>
        <w:spacing w:after="160" w:line="300" w:lineRule="auto"/>
      </w:pPr>
      <w:r>
        <w:t>Average revenue per customer across the full base is approximately $5,000, with an average of 12 orders per customer over the period analyzed. Given the B2B segment's outsized contribution to revenue despite its smaller size, prioritizing retention and account management for B2B customers represents a high-leverage opportunity.</w:t>
      </w:r>
    </w:p>
    <w:p w14:paraId="468104F5" w14:textId="77777777" w:rsidR="00CE2DBA" w:rsidRDefault="00DC1BDE">
      <w:pPr>
        <w:pStyle w:val="Heading1"/>
      </w:pPr>
      <w:r>
        <w:t>6. Discount Impact</w:t>
      </w:r>
    </w:p>
    <w:p w14:paraId="5EA7F40F" w14:textId="77777777" w:rsidR="00CE2DBA" w:rsidRDefault="00DC1BDE">
      <w:pPr>
        <w:spacing w:after="160" w:line="300" w:lineRule="auto"/>
      </w:pPr>
      <w:r>
        <w:t>The average discount rate applied across all transactions is approximately 3%, which is modest relative to typical retail discounting. Despite the low average rate, the absolute discount amount is concentrated among premium alcoholic products due to their higher base prices. This suggests discounting is currently more a function of product price tier than a deliberate promotional strategy targeting specific categories or customer segments.</w:t>
      </w:r>
    </w:p>
    <w:p w14:paraId="6C4AC11B" w14:textId="77777777" w:rsidR="00CE2DBA" w:rsidRDefault="00DC1BDE">
      <w:pPr>
        <w:pStyle w:val="Heading1"/>
      </w:pPr>
      <w:r>
        <w:t>7. Recommendations</w:t>
      </w:r>
    </w:p>
    <w:p w14:paraId="0ADF2AF6" w14:textId="77777777" w:rsidR="00CE2DBA" w:rsidRDefault="00DC1BDE">
      <w:pPr>
        <w:pStyle w:val="ListParagraph"/>
        <w:numPr>
          <w:ilvl w:val="0"/>
          <w:numId w:val="2"/>
        </w:numPr>
        <w:spacing w:after="80"/>
      </w:pPr>
      <w:r>
        <w:t>Prioritize B2B account growth: given the disproportionate revenue contribution per B2B customer, targeted account management or loyalty incentives for this segment could yield strong returns.</w:t>
      </w:r>
    </w:p>
    <w:p w14:paraId="2E7FE67A" w14:textId="77777777" w:rsidR="00CE2DBA" w:rsidRDefault="00DC1BDE">
      <w:pPr>
        <w:pStyle w:val="ListParagraph"/>
        <w:numPr>
          <w:ilvl w:val="0"/>
          <w:numId w:val="2"/>
        </w:numPr>
        <w:spacing w:after="80"/>
      </w:pPr>
      <w:r>
        <w:t>Investigate the February dip: identify whether this is driven by seasonality, calendar effects, or external factors, and consider promotional campaigns to smooth the early-year slowdown.</w:t>
      </w:r>
    </w:p>
    <w:p w14:paraId="7BB99841" w14:textId="77777777" w:rsidR="00CE2DBA" w:rsidRDefault="00DC1BDE">
      <w:pPr>
        <w:pStyle w:val="ListParagraph"/>
        <w:numPr>
          <w:ilvl w:val="0"/>
          <w:numId w:val="2"/>
        </w:numPr>
        <w:spacing w:after="80"/>
      </w:pPr>
      <w:r>
        <w:t>Rebalance discount strategy: consider extending modest discounts to high-volume categories like Water and Soft Drinks to test whether they stimulate incremental volume, since discounting currently skews toward already strong-performing Alcoholic Beverages.</w:t>
      </w:r>
    </w:p>
    <w:p w14:paraId="1A12EFD3" w14:textId="77777777" w:rsidR="00CE2DBA" w:rsidRDefault="00DC1BDE">
      <w:pPr>
        <w:pStyle w:val="ListParagraph"/>
        <w:numPr>
          <w:ilvl w:val="0"/>
          <w:numId w:val="2"/>
        </w:numPr>
        <w:spacing w:after="80"/>
      </w:pPr>
      <w:r>
        <w:t>Leverage regional parity: since revenue is fairly evenly spread across regions, replicate successful regional marketing tactics from top performers (Hamburg, Hessen, Mecklenburg-Vorpommern) in mid-tier regions to lift overall performance.</w:t>
      </w:r>
    </w:p>
    <w:p w14:paraId="63872F04" w14:textId="77777777" w:rsidR="00CE2DBA" w:rsidRDefault="00DC1BDE">
      <w:pPr>
        <w:pStyle w:val="ListParagraph"/>
        <w:numPr>
          <w:ilvl w:val="0"/>
          <w:numId w:val="2"/>
        </w:numPr>
        <w:spacing w:after="80"/>
      </w:pPr>
      <w:r>
        <w:t>Monitor top products closely: continue tracking high-revenue products such as premium spirits alongside high-volume staples like water brands to maintain a balanced portfolio strategy.</w:t>
      </w:r>
    </w:p>
    <w:p w14:paraId="5423A397" w14:textId="77777777" w:rsidR="00CE2DBA" w:rsidRDefault="00DC1BDE">
      <w:pPr>
        <w:pStyle w:val="Heading1"/>
      </w:pPr>
      <w:r>
        <w:t>8. Methodology Notes</w:t>
      </w:r>
    </w:p>
    <w:p w14:paraId="7647AA59" w14:textId="77777777" w:rsidR="00CE2DBA" w:rsidRDefault="00DC1BDE">
      <w:pPr>
        <w:spacing w:after="160" w:line="300" w:lineRule="auto"/>
      </w:pPr>
      <w:r>
        <w:t>This analysis is based on a synthetic beverage sales dataset containing order-level records (order ID, customer ID, customer type, product, category, unit price, quantity, discount, total price, region, and order date). Total price values were provided net of discount; gross revenue and discount amount were derived by reversing the discount calculation. All figures in this report are descriptive summaries intended to support a portfolio-style Power BI dashboard and should be interpreted as illustrative give</w:t>
      </w:r>
      <w:r>
        <w:t>n the synthetic nature of the source data.</w:t>
      </w:r>
    </w:p>
    <w:sectPr w:rsidR="00CE2D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C737F" w14:textId="77777777" w:rsidR="00DC1BDE" w:rsidRDefault="00DC1BDE">
      <w:r>
        <w:separator/>
      </w:r>
    </w:p>
  </w:endnote>
  <w:endnote w:type="continuationSeparator" w:id="0">
    <w:p w14:paraId="5061BD2F" w14:textId="77777777" w:rsidR="00DC1BDE" w:rsidRDefault="00DC1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00EF" w14:textId="77777777" w:rsidR="00CE2DBA" w:rsidRDefault="00DC1BDE">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8F258" w14:textId="77777777" w:rsidR="00DC1BDE" w:rsidRDefault="00DC1BDE">
      <w:r>
        <w:separator/>
      </w:r>
    </w:p>
  </w:footnote>
  <w:footnote w:type="continuationSeparator" w:id="0">
    <w:p w14:paraId="3F088CDB" w14:textId="77777777" w:rsidR="00DC1BDE" w:rsidRDefault="00DC1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103E" w14:textId="77777777" w:rsidR="00CE2DBA" w:rsidRDefault="00DC1BDE">
    <w:pPr>
      <w:jc w:val="right"/>
    </w:pPr>
    <w:r>
      <w:rPr>
        <w:color w:val="888888"/>
        <w:sz w:val="16"/>
        <w:szCs w:val="16"/>
      </w:rPr>
      <w:t>Beverage Sales Analytics — Insights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83B87"/>
    <w:multiLevelType w:val="hybridMultilevel"/>
    <w:tmpl w:val="FFFFFFFF"/>
    <w:lvl w:ilvl="0" w:tplc="DC788C3E">
      <w:start w:val="1"/>
      <w:numFmt w:val="bullet"/>
      <w:lvlText w:val="•"/>
      <w:lvlJc w:val="left"/>
      <w:pPr>
        <w:ind w:left="720" w:hanging="360"/>
      </w:pPr>
    </w:lvl>
    <w:lvl w:ilvl="1" w:tplc="883A7940">
      <w:numFmt w:val="decimal"/>
      <w:lvlText w:val=""/>
      <w:lvlJc w:val="left"/>
    </w:lvl>
    <w:lvl w:ilvl="2" w:tplc="1988C4BC">
      <w:numFmt w:val="decimal"/>
      <w:lvlText w:val=""/>
      <w:lvlJc w:val="left"/>
    </w:lvl>
    <w:lvl w:ilvl="3" w:tplc="17BE581E">
      <w:numFmt w:val="decimal"/>
      <w:lvlText w:val=""/>
      <w:lvlJc w:val="left"/>
    </w:lvl>
    <w:lvl w:ilvl="4" w:tplc="FC003CCC">
      <w:numFmt w:val="decimal"/>
      <w:lvlText w:val=""/>
      <w:lvlJc w:val="left"/>
    </w:lvl>
    <w:lvl w:ilvl="5" w:tplc="E7AE88FA">
      <w:numFmt w:val="decimal"/>
      <w:lvlText w:val=""/>
      <w:lvlJc w:val="left"/>
    </w:lvl>
    <w:lvl w:ilvl="6" w:tplc="822EC1A6">
      <w:numFmt w:val="decimal"/>
      <w:lvlText w:val=""/>
      <w:lvlJc w:val="left"/>
    </w:lvl>
    <w:lvl w:ilvl="7" w:tplc="8952B53A">
      <w:numFmt w:val="decimal"/>
      <w:lvlText w:val=""/>
      <w:lvlJc w:val="left"/>
    </w:lvl>
    <w:lvl w:ilvl="8" w:tplc="F9E42778">
      <w:numFmt w:val="decimal"/>
      <w:lvlText w:val=""/>
      <w:lvlJc w:val="left"/>
    </w:lvl>
  </w:abstractNum>
  <w:abstractNum w:abstractNumId="1" w15:restartNumberingAfterBreak="0">
    <w:nsid w:val="1C2603D8"/>
    <w:multiLevelType w:val="hybridMultilevel"/>
    <w:tmpl w:val="FFFFFFFF"/>
    <w:lvl w:ilvl="0" w:tplc="3982A694">
      <w:start w:val="1"/>
      <w:numFmt w:val="bullet"/>
      <w:lvlText w:val="●"/>
      <w:lvlJc w:val="left"/>
      <w:pPr>
        <w:ind w:left="720" w:hanging="360"/>
      </w:pPr>
    </w:lvl>
    <w:lvl w:ilvl="1" w:tplc="FCACDC8C">
      <w:start w:val="1"/>
      <w:numFmt w:val="bullet"/>
      <w:lvlText w:val="○"/>
      <w:lvlJc w:val="left"/>
      <w:pPr>
        <w:ind w:left="1440" w:hanging="360"/>
      </w:pPr>
    </w:lvl>
    <w:lvl w:ilvl="2" w:tplc="9EE8A6D2">
      <w:start w:val="1"/>
      <w:numFmt w:val="bullet"/>
      <w:lvlText w:val="■"/>
      <w:lvlJc w:val="left"/>
      <w:pPr>
        <w:ind w:left="2160" w:hanging="360"/>
      </w:pPr>
    </w:lvl>
    <w:lvl w:ilvl="3" w:tplc="732E2450">
      <w:start w:val="1"/>
      <w:numFmt w:val="bullet"/>
      <w:lvlText w:val="●"/>
      <w:lvlJc w:val="left"/>
      <w:pPr>
        <w:ind w:left="2880" w:hanging="360"/>
      </w:pPr>
    </w:lvl>
    <w:lvl w:ilvl="4" w:tplc="6C383E8E">
      <w:start w:val="1"/>
      <w:numFmt w:val="bullet"/>
      <w:lvlText w:val="○"/>
      <w:lvlJc w:val="left"/>
      <w:pPr>
        <w:ind w:left="3600" w:hanging="360"/>
      </w:pPr>
    </w:lvl>
    <w:lvl w:ilvl="5" w:tplc="3D3A463E">
      <w:start w:val="1"/>
      <w:numFmt w:val="bullet"/>
      <w:lvlText w:val="■"/>
      <w:lvlJc w:val="left"/>
      <w:pPr>
        <w:ind w:left="4320" w:hanging="360"/>
      </w:pPr>
    </w:lvl>
    <w:lvl w:ilvl="6" w:tplc="406604F2">
      <w:start w:val="1"/>
      <w:numFmt w:val="bullet"/>
      <w:lvlText w:val="●"/>
      <w:lvlJc w:val="left"/>
      <w:pPr>
        <w:ind w:left="5040" w:hanging="360"/>
      </w:pPr>
    </w:lvl>
    <w:lvl w:ilvl="7" w:tplc="0E9EFE5A">
      <w:start w:val="1"/>
      <w:numFmt w:val="bullet"/>
      <w:lvlText w:val="●"/>
      <w:lvlJc w:val="left"/>
      <w:pPr>
        <w:ind w:left="5760" w:hanging="360"/>
      </w:pPr>
    </w:lvl>
    <w:lvl w:ilvl="8" w:tplc="495EE80A">
      <w:start w:val="1"/>
      <w:numFmt w:val="bullet"/>
      <w:lvlText w:val="●"/>
      <w:lvlJc w:val="left"/>
      <w:pPr>
        <w:ind w:left="6480" w:hanging="360"/>
      </w:pPr>
    </w:lvl>
  </w:abstractNum>
  <w:num w:numId="1" w16cid:durableId="1557427033">
    <w:abstractNumId w:val="1"/>
    <w:lvlOverride w:ilvl="0">
      <w:startOverride w:val="1"/>
    </w:lvlOverride>
  </w:num>
  <w:num w:numId="2" w16cid:durableId="282083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BA"/>
    <w:rsid w:val="00394829"/>
    <w:rsid w:val="007E2613"/>
    <w:rsid w:val="00CE2DBA"/>
    <w:rsid w:val="00DC1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69A0D4"/>
  <w15:docId w15:val="{F496CBC0-5770-814C-A606-2D834805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F5C518"/>
      </w:pBdr>
      <w:spacing w:before="360" w:after="200"/>
      <w:outlineLvl w:val="0"/>
    </w:pPr>
    <w:rPr>
      <w:b/>
      <w:bCs/>
      <w:color w:val="0B1F3A"/>
      <w:sz w:val="32"/>
      <w:szCs w:val="32"/>
    </w:rPr>
  </w:style>
  <w:style w:type="paragraph" w:styleId="Heading2">
    <w:name w:val="heading 2"/>
    <w:uiPriority w:val="9"/>
    <w:unhideWhenUsed/>
    <w:qFormat/>
    <w:pPr>
      <w:spacing w:before="280" w:after="140"/>
      <w:outlineLvl w:val="1"/>
    </w:pPr>
    <w:rPr>
      <w:b/>
      <w:bCs/>
      <w:color w:val="0B1F3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1092</Words>
  <Characters>6228</Characters>
  <Application>Microsoft Office Word</Application>
  <DocSecurity>0</DocSecurity>
  <Lines>51</Lines>
  <Paragraphs>14</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Tarek Mostafa Mohamed</cp:lastModifiedBy>
  <cp:revision>2</cp:revision>
  <dcterms:created xsi:type="dcterms:W3CDTF">2026-06-19T10:52:00Z</dcterms:created>
  <dcterms:modified xsi:type="dcterms:W3CDTF">2026-06-19T10:52:00Z</dcterms:modified>
</cp:coreProperties>
</file>