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COURSE SYLLABUS</w:t>
      </w:r>
    </w:p>
    <w:p>
      <w:pPr>
        <w:spacing w:after="80"/>
        <w:jc w:val="center"/>
      </w:pPr>
      <w:r>
        <w:rPr/>
        <w:t>Academic Year 2026 - 27, Semester – Spring</w:t>
      </w:r>
      <w:r>
        <w:br/>
      </w:r>
      <w:r>
        <w:rPr>
          <w:b/>
        </w:rPr>
        <w:t>ENT 142 – Fundamentals of Innovation and Entrepreneurship 2</w:t>
      </w:r>
      <w:r>
        <w:br/>
      </w:r>
      <w:r>
        <w:rPr>
          <w:b/>
          <w:color w:val="1E8A4F"/>
          <w:sz w:val="18"/>
        </w:rPr>
        <w:t>Suggested version · updated 27 October 2026 · for department review</w:t>
      </w:r>
    </w:p>
    <w:p>
      <w:pPr>
        <w:tabs>
          <w:tab w:pos="680" w:val="left"/>
        </w:tabs>
        <w:spacing w:before="200" w:after="80"/>
      </w:pPr>
      <w:r>
        <w:rPr>
          <w:b/>
          <w:sz w:val="24"/>
        </w:rPr>
        <w:t>1.</w:t>
        <w:tab/>
        <w:t>COURSE INFORMATION</w:t>
      </w:r>
    </w:p>
    <w:tbl>
      <w:tblPr>
        <w:tblStyle w:val="TableGrid"/>
        <w:tblW w:type="auto" w:w="0"/>
        <w:jc w:val="center"/>
        <w:tblLayout w:type="fixed"/>
        <w:tblLook w:firstColumn="1" w:firstRow="1" w:lastColumn="0" w:lastRow="0" w:noHBand="0" w:noVBand="1" w:val="04A0"/>
      </w:tblPr>
      <w:tblGrid>
        <w:gridCol w:w="3118"/>
        <w:gridCol w:w="6520"/>
      </w:tblGrid>
      <w:tr>
        <w:tc>
          <w:tcPr>
            <w:tcW w:type="dxa" w:w="3118"/>
          </w:tcPr>
          <w:p>
            <w:pPr>
              <w:spacing w:after="0"/>
            </w:pPr>
            <w:r>
              <w:rPr>
                <w:b/>
                <w:sz w:val="19"/>
              </w:rPr>
              <w:t>Course Title:</w:t>
            </w:r>
          </w:p>
        </w:tc>
        <w:tc>
          <w:tcPr>
            <w:tcW w:type="dxa" w:w="6520"/>
          </w:tcPr>
          <w:p>
            <w:pPr>
              <w:spacing w:after="0"/>
            </w:pPr>
            <w:r>
              <w:rPr>
                <w:sz w:val="19"/>
              </w:rPr>
              <w:t>Fundamentals of Innovation and Entrepreneurship 2</w:t>
            </w:r>
          </w:p>
        </w:tc>
      </w:tr>
      <w:tr>
        <w:tc>
          <w:tcPr>
            <w:tcW w:type="dxa" w:w="3118"/>
          </w:tcPr>
          <w:p>
            <w:pPr>
              <w:spacing w:after="0"/>
            </w:pPr>
            <w:r>
              <w:rPr>
                <w:b/>
                <w:sz w:val="19"/>
              </w:rPr>
              <w:t>Course Code:</w:t>
            </w:r>
          </w:p>
        </w:tc>
        <w:tc>
          <w:tcPr>
            <w:tcW w:type="dxa" w:w="6520"/>
          </w:tcPr>
          <w:p>
            <w:pPr>
              <w:spacing w:after="0"/>
            </w:pPr>
            <w:r>
              <w:rPr>
                <w:sz w:val="19"/>
              </w:rPr>
              <w:t>ENT 142</w:t>
            </w:r>
          </w:p>
        </w:tc>
      </w:tr>
      <w:tr>
        <w:tc>
          <w:tcPr>
            <w:tcW w:type="dxa" w:w="3118"/>
          </w:tcPr>
          <w:p>
            <w:pPr>
              <w:spacing w:after="0"/>
            </w:pPr>
            <w:r>
              <w:rPr>
                <w:b/>
                <w:sz w:val="19"/>
              </w:rPr>
              <w:t>Course Identity:</w:t>
            </w:r>
          </w:p>
        </w:tc>
        <w:tc>
          <w:tcPr>
            <w:tcW w:type="dxa" w:w="6520"/>
          </w:tcPr>
          <w:p>
            <w:pPr>
              <w:spacing w:after="0"/>
            </w:pPr>
            <w:r>
              <w:rPr>
                <w:sz w:val="19"/>
              </w:rPr>
              <w:t>Build &amp; Test (Year 2 of the four-course ENT journey)</w:t>
            </w:r>
          </w:p>
        </w:tc>
      </w:tr>
      <w:tr>
        <w:tc>
          <w:tcPr>
            <w:tcW w:type="dxa" w:w="3118"/>
          </w:tcPr>
          <w:p>
            <w:pPr>
              <w:spacing w:after="0"/>
            </w:pPr>
            <w:r>
              <w:rPr>
                <w:b/>
                <w:sz w:val="19"/>
              </w:rPr>
              <w:t>Course Credit:</w:t>
            </w:r>
          </w:p>
        </w:tc>
        <w:tc>
          <w:tcPr>
            <w:tcW w:type="dxa" w:w="6520"/>
          </w:tcPr>
          <w:p>
            <w:pPr>
              <w:spacing w:after="0"/>
            </w:pPr>
            <w:r>
              <w:rPr>
                <w:sz w:val="19"/>
              </w:rPr>
              <w:t>0-2-1</w:t>
            </w:r>
          </w:p>
        </w:tc>
      </w:tr>
      <w:tr>
        <w:tc>
          <w:tcPr>
            <w:tcW w:type="dxa" w:w="3118"/>
          </w:tcPr>
          <w:p>
            <w:pPr>
              <w:spacing w:after="0"/>
            </w:pPr>
            <w:r>
              <w:rPr>
                <w:b/>
                <w:sz w:val="19"/>
              </w:rPr>
              <w:t>Contact Hours:</w:t>
            </w:r>
          </w:p>
        </w:tc>
        <w:tc>
          <w:tcPr>
            <w:tcW w:type="dxa" w:w="6520"/>
          </w:tcPr>
          <w:p>
            <w:pPr>
              <w:spacing w:after="0"/>
            </w:pPr>
            <w:r>
              <w:rPr>
                <w:sz w:val="19"/>
              </w:rPr>
              <w:t>Lec [00 Hrs], Lab/Non-Lec [30 Hrs] Total: 30 Hrs (2-hour lab weekly)</w:t>
            </w:r>
          </w:p>
        </w:tc>
      </w:tr>
      <w:tr>
        <w:tc>
          <w:tcPr>
            <w:tcW w:type="dxa" w:w="3118"/>
          </w:tcPr>
          <w:p>
            <w:pPr>
              <w:spacing w:after="0"/>
            </w:pPr>
            <w:r>
              <w:rPr>
                <w:b/>
                <w:sz w:val="19"/>
              </w:rPr>
              <w:t>Course Pre-requisite(s):</w:t>
            </w:r>
          </w:p>
        </w:tc>
        <w:tc>
          <w:tcPr>
            <w:tcW w:type="dxa" w:w="6520"/>
          </w:tcPr>
          <w:p>
            <w:pPr>
              <w:spacing w:after="0"/>
            </w:pPr>
            <w:r>
              <w:rPr>
                <w:sz w:val="19"/>
              </w:rPr>
              <w:t>ENT 141</w:t>
            </w:r>
          </w:p>
        </w:tc>
      </w:tr>
      <w:tr>
        <w:tc>
          <w:tcPr>
            <w:tcW w:type="dxa" w:w="3118"/>
          </w:tcPr>
          <w:p>
            <w:pPr>
              <w:spacing w:after="0"/>
            </w:pPr>
            <w:r>
              <w:rPr>
                <w:b/>
                <w:sz w:val="19"/>
              </w:rPr>
              <w:t>Course Co-requisite(s):</w:t>
            </w:r>
          </w:p>
        </w:tc>
        <w:tc>
          <w:tcPr>
            <w:tcW w:type="dxa" w:w="6520"/>
          </w:tcPr>
          <w:p>
            <w:pPr>
              <w:spacing w:after="0"/>
            </w:pPr>
            <w:r>
              <w:rPr>
                <w:sz w:val="19"/>
              </w:rPr>
              <w:t>None</w:t>
            </w:r>
          </w:p>
        </w:tc>
      </w:tr>
      <w:tr>
        <w:tc>
          <w:tcPr>
            <w:tcW w:type="dxa" w:w="3118"/>
          </w:tcPr>
          <w:p>
            <w:pPr>
              <w:spacing w:after="0"/>
            </w:pPr>
            <w:r>
              <w:rPr>
                <w:b/>
                <w:sz w:val="19"/>
              </w:rPr>
              <w:t>Course Category:</w:t>
            </w:r>
          </w:p>
        </w:tc>
        <w:tc>
          <w:tcPr>
            <w:tcW w:type="dxa" w:w="6520"/>
          </w:tcPr>
          <w:p>
            <w:pPr>
              <w:spacing w:after="0"/>
            </w:pPr>
            <w:r>
              <w:rPr>
                <w:sz w:val="19"/>
              </w:rPr>
              <w:t>University Requirement (GE), General Education</w:t>
            </w:r>
          </w:p>
        </w:tc>
      </w:tr>
      <w:tr>
        <w:tc>
          <w:tcPr>
            <w:tcW w:type="dxa" w:w="3118"/>
          </w:tcPr>
          <w:p>
            <w:pPr>
              <w:spacing w:after="0"/>
            </w:pPr>
            <w:r>
              <w:rPr>
                <w:b/>
                <w:sz w:val="19"/>
              </w:rPr>
              <w:t>Course Type:</w:t>
            </w:r>
          </w:p>
        </w:tc>
        <w:tc>
          <w:tcPr>
            <w:tcW w:type="dxa" w:w="6520"/>
          </w:tcPr>
          <w:p>
            <w:pPr>
              <w:spacing w:after="0"/>
            </w:pPr>
            <w:r>
              <w:rPr>
                <w:sz w:val="19"/>
              </w:rPr>
              <w:t>Compulsory</w:t>
            </w:r>
          </w:p>
        </w:tc>
      </w:tr>
    </w:tbl>
    <w:p>
      <w:pPr>
        <w:spacing w:after="40"/>
      </w:pPr>
    </w:p>
    <w:p>
      <w:pPr>
        <w:tabs>
          <w:tab w:pos="680" w:val="left"/>
        </w:tabs>
        <w:spacing w:before="200" w:after="80"/>
      </w:pPr>
      <w:r>
        <w:rPr>
          <w:b/>
          <w:sz w:val="24"/>
        </w:rPr>
        <w:t>2.</w:t>
        <w:tab/>
        <w:t>FACULTY INFORMATION</w:t>
      </w:r>
    </w:p>
    <w:tbl>
      <w:tblPr>
        <w:tblStyle w:val="TableGrid"/>
        <w:tblW w:type="auto" w:w="0"/>
        <w:jc w:val="center"/>
        <w:tblLayout w:type="fixed"/>
        <w:tblLook w:firstColumn="1" w:firstRow="1" w:lastColumn="0" w:lastRow="0" w:noHBand="0" w:noVBand="1" w:val="04A0"/>
      </w:tblPr>
      <w:tblGrid>
        <w:gridCol w:w="3118"/>
        <w:gridCol w:w="6520"/>
      </w:tblGrid>
      <w:tr>
        <w:tc>
          <w:tcPr>
            <w:tcW w:type="dxa" w:w="3118"/>
          </w:tcPr>
          <w:p>
            <w:pPr>
              <w:spacing w:after="0"/>
            </w:pPr>
            <w:r>
              <w:rPr>
                <w:b/>
                <w:sz w:val="19"/>
              </w:rPr>
              <w:t>Instructor Name:</w:t>
            </w:r>
          </w:p>
        </w:tc>
        <w:tc>
          <w:tcPr>
            <w:tcW w:type="dxa" w:w="6520"/>
          </w:tcPr>
          <w:p>
            <w:pPr>
              <w:spacing w:after="0"/>
            </w:pPr>
            <w:r>
              <w:rPr>
                <w:sz w:val="19"/>
              </w:rPr>
              <w:t>This section will be filled at the time of offering of course.</w:t>
            </w:r>
          </w:p>
        </w:tc>
      </w:tr>
      <w:tr>
        <w:tc>
          <w:tcPr>
            <w:tcW w:type="dxa" w:w="3118"/>
          </w:tcPr>
          <w:p>
            <w:pPr>
              <w:spacing w:after="0"/>
            </w:pPr>
            <w:r>
              <w:rPr>
                <w:b/>
                <w:sz w:val="19"/>
              </w:rPr>
              <w:t>Lecture/Lab Timings:</w:t>
            </w:r>
          </w:p>
        </w:tc>
        <w:tc>
          <w:tcPr>
            <w:tcW w:type="dxa" w:w="6520"/>
          </w:tcPr>
          <w:p>
            <w:pPr>
              <w:spacing w:after="0"/>
            </w:pPr>
          </w:p>
        </w:tc>
      </w:tr>
      <w:tr>
        <w:tc>
          <w:tcPr>
            <w:tcW w:type="dxa" w:w="3118"/>
          </w:tcPr>
          <w:p>
            <w:pPr>
              <w:spacing w:after="0"/>
            </w:pPr>
            <w:r>
              <w:rPr>
                <w:b/>
                <w:sz w:val="19"/>
              </w:rPr>
              <w:t>Office Location:</w:t>
            </w:r>
          </w:p>
        </w:tc>
        <w:tc>
          <w:tcPr>
            <w:tcW w:type="dxa" w:w="6520"/>
          </w:tcPr>
          <w:p>
            <w:pPr>
              <w:spacing w:after="0"/>
            </w:pPr>
          </w:p>
        </w:tc>
      </w:tr>
      <w:tr>
        <w:tc>
          <w:tcPr>
            <w:tcW w:type="dxa" w:w="3118"/>
          </w:tcPr>
          <w:p>
            <w:pPr>
              <w:spacing w:after="0"/>
            </w:pPr>
            <w:r>
              <w:rPr>
                <w:b/>
                <w:sz w:val="19"/>
              </w:rPr>
              <w:t>Office Hours:</w:t>
            </w:r>
          </w:p>
        </w:tc>
        <w:tc>
          <w:tcPr>
            <w:tcW w:type="dxa" w:w="6520"/>
          </w:tcPr>
          <w:p>
            <w:pPr>
              <w:spacing w:after="0"/>
            </w:pPr>
          </w:p>
        </w:tc>
      </w:tr>
      <w:tr>
        <w:tc>
          <w:tcPr>
            <w:tcW w:type="dxa" w:w="3118"/>
          </w:tcPr>
          <w:p>
            <w:pPr>
              <w:spacing w:after="0"/>
            </w:pPr>
            <w:r>
              <w:rPr>
                <w:b/>
                <w:sz w:val="19"/>
              </w:rPr>
              <w:t>E-mail:</w:t>
            </w:r>
          </w:p>
        </w:tc>
        <w:tc>
          <w:tcPr>
            <w:tcW w:type="dxa" w:w="6520"/>
          </w:tcPr>
          <w:p>
            <w:pPr>
              <w:spacing w:after="0"/>
            </w:pPr>
          </w:p>
        </w:tc>
      </w:tr>
      <w:tr>
        <w:tc>
          <w:tcPr>
            <w:tcW w:type="dxa" w:w="3118"/>
          </w:tcPr>
          <w:p>
            <w:pPr>
              <w:spacing w:after="0"/>
            </w:pPr>
            <w:r>
              <w:rPr>
                <w:b/>
                <w:sz w:val="19"/>
              </w:rPr>
              <w:t>Office Telephone:</w:t>
            </w:r>
          </w:p>
        </w:tc>
        <w:tc>
          <w:tcPr>
            <w:tcW w:type="dxa" w:w="6520"/>
          </w:tcPr>
          <w:p>
            <w:pPr>
              <w:spacing w:after="0"/>
            </w:pPr>
          </w:p>
        </w:tc>
      </w:tr>
      <w:tr>
        <w:tc>
          <w:tcPr>
            <w:tcW w:type="dxa" w:w="3118"/>
          </w:tcPr>
          <w:p>
            <w:pPr>
              <w:spacing w:after="0"/>
            </w:pPr>
            <w:r>
              <w:rPr>
                <w:b/>
                <w:sz w:val="19"/>
              </w:rPr>
              <w:t>Course Website:</w:t>
            </w:r>
          </w:p>
        </w:tc>
        <w:tc>
          <w:tcPr>
            <w:tcW w:type="dxa" w:w="6520"/>
          </w:tcPr>
          <w:p>
            <w:pPr>
              <w:spacing w:after="0"/>
            </w:pPr>
            <w:r>
              <w:rPr>
                <w:sz w:val="19"/>
              </w:rPr>
              <w:t>Course Website on Moodle</w:t>
            </w:r>
          </w:p>
        </w:tc>
      </w:tr>
    </w:tbl>
    <w:p>
      <w:pPr>
        <w:spacing w:after="40"/>
      </w:pPr>
    </w:p>
    <w:p>
      <w:pPr>
        <w:tabs>
          <w:tab w:pos="680" w:val="left"/>
        </w:tabs>
        <w:spacing w:before="200" w:after="80"/>
      </w:pPr>
      <w:r>
        <w:rPr>
          <w:b/>
          <w:sz w:val="24"/>
        </w:rPr>
        <w:t>3.</w:t>
        <w:tab/>
        <w:t>COURSE DETAILS</w:t>
      </w:r>
    </w:p>
    <w:p>
      <w:pPr>
        <w:tabs>
          <w:tab w:pos="680" w:val="left"/>
        </w:tabs>
        <w:spacing w:before="200" w:after="80"/>
      </w:pPr>
      <w:r>
        <w:rPr>
          <w:b/>
          <w:sz w:val="22"/>
        </w:rPr>
        <w:t>3.1</w:t>
        <w:tab/>
        <w:t>Course Description</w:t>
      </w:r>
    </w:p>
    <w:p>
      <w:pPr>
        <w:spacing w:after="80"/>
        <w:jc w:val="both"/>
      </w:pPr>
      <w:r>
        <w:rPr/>
        <w:t>This course is a continuation of ENT 141. Teams turn their ENT 141 prototype, or a CUD Incubator partner challenge, into a minimum viable product (MVP), test it with real users at a live Innovation Exhibition, and analyse the evidence for desirability, feasibility and viability. The course ends with two pitch events to an academic and external panel, scored by peer investors, and a founder learning session that prepares students for ENT 241 (Analyze &amp; Plan). Each week is a 2-hour lab.</w:t>
      </w:r>
    </w:p>
    <w:p>
      <w:pPr>
        <w:tabs>
          <w:tab w:pos="680" w:val="left"/>
        </w:tabs>
        <w:spacing w:before="200" w:after="80"/>
      </w:pPr>
      <w:r>
        <w:rPr>
          <w:b/>
          <w:sz w:val="22"/>
        </w:rPr>
        <w:t>3.2</w:t>
        <w:tab/>
        <w:t>Course Learning Outcomes (CLOs) and Alignment to GE Learning Outcomes (GELOs)</w:t>
      </w:r>
    </w:p>
    <w:p>
      <w:pPr>
        <w:spacing w:after="80"/>
        <w:jc w:val="both"/>
      </w:pPr>
      <w:r>
        <w:rPr/>
        <w:t>On successful completion of this course, the student will be able to:</w:t>
      </w:r>
    </w:p>
    <w:tbl>
      <w:tblPr>
        <w:tblStyle w:val="TableGrid"/>
        <w:tblW w:type="auto" w:w="0"/>
        <w:jc w:val="center"/>
        <w:tblLayout w:type="fixed"/>
        <w:tblLook w:firstColumn="1" w:firstRow="1" w:lastColumn="0" w:lastRow="0" w:noHBand="0" w:noVBand="1" w:val="04A0"/>
      </w:tblPr>
      <w:tblGrid>
        <w:gridCol w:w="907"/>
        <w:gridCol w:w="7597"/>
        <w:gridCol w:w="1134"/>
      </w:tblGrid>
      <w:tr>
        <w:tc>
          <w:tcPr>
            <w:tcW w:type="dxa" w:w="7597"/>
            <w:gridSpan w:val="2"/>
            <w:shd w:val="clear" w:color="auto" w:fill="C00000"/>
          </w:tcPr>
          <w:p>
            <w:pPr>
              <w:spacing w:after="0"/>
              <w:jc w:val="center"/>
            </w:pPr>
            <w:r>
              <w:rPr>
                <w:b/>
                <w:color w:val="FFFFFF"/>
                <w:sz w:val="19"/>
              </w:rPr>
              <w:t>Course Learning Outcomes (CLOs)</w:t>
            </w:r>
          </w:p>
        </w:tc>
        <w:tc>
          <w:tcPr>
            <w:tcW w:type="dxa" w:w="1134"/>
            <w:shd w:val="clear" w:color="auto" w:fill="C00000"/>
          </w:tcPr>
          <w:p>
            <w:pPr>
              <w:spacing w:after="0"/>
              <w:jc w:val="center"/>
            </w:pPr>
            <w:r>
              <w:rPr>
                <w:b/>
                <w:color w:val="FFFFFF"/>
                <w:sz w:val="19"/>
              </w:rPr>
              <w:t>PLOs</w:t>
            </w:r>
          </w:p>
        </w:tc>
      </w:tr>
      <w:tr>
        <w:tc>
          <w:tcPr>
            <w:tcW w:type="dxa" w:w="907"/>
          </w:tcPr>
          <w:p>
            <w:pPr>
              <w:spacing w:after="0"/>
            </w:pPr>
            <w:r>
              <w:rPr>
                <w:sz w:val="19"/>
              </w:rPr>
              <w:t>CLO 1</w:t>
            </w:r>
          </w:p>
        </w:tc>
        <w:tc>
          <w:tcPr>
            <w:tcW w:type="dxa" w:w="7597"/>
          </w:tcPr>
          <w:p>
            <w:pPr>
              <w:spacing w:after="0"/>
            </w:pPr>
            <w:r>
              <w:rPr>
                <w:sz w:val="19"/>
              </w:rPr>
              <w:t>Explain the process of innovation, entrepreneurship and sustainability.</w:t>
            </w:r>
          </w:p>
        </w:tc>
        <w:tc>
          <w:tcPr>
            <w:tcW w:type="dxa" w:w="1134"/>
          </w:tcPr>
          <w:p>
            <w:pPr>
              <w:spacing w:after="0"/>
              <w:jc w:val="center"/>
            </w:pPr>
            <w:r>
              <w:rPr>
                <w:b/>
                <w:sz w:val="19"/>
              </w:rPr>
              <w:t>6</w:t>
            </w:r>
          </w:p>
        </w:tc>
      </w:tr>
      <w:tr>
        <w:tc>
          <w:tcPr>
            <w:tcW w:type="dxa" w:w="907"/>
          </w:tcPr>
          <w:p>
            <w:pPr>
              <w:spacing w:after="0"/>
            </w:pPr>
            <w:r>
              <w:rPr>
                <w:sz w:val="19"/>
              </w:rPr>
              <w:t>CLO 2</w:t>
            </w:r>
          </w:p>
        </w:tc>
        <w:tc>
          <w:tcPr>
            <w:tcW w:type="dxa" w:w="7597"/>
          </w:tcPr>
          <w:p>
            <w:pPr>
              <w:spacing w:after="0"/>
            </w:pPr>
            <w:r>
              <w:rPr>
                <w:sz w:val="19"/>
              </w:rPr>
              <w:t>Apply skills required for effective teamwork and presentations, emphasizing sustainable approaches to solving real-life social issues through innovation.</w:t>
            </w:r>
          </w:p>
        </w:tc>
        <w:tc>
          <w:tcPr>
            <w:tcW w:type="dxa" w:w="1134"/>
          </w:tcPr>
          <w:p>
            <w:pPr>
              <w:spacing w:after="0"/>
              <w:jc w:val="center"/>
            </w:pPr>
            <w:r>
              <w:rPr>
                <w:b/>
                <w:sz w:val="19"/>
              </w:rPr>
              <w:t>2</w:t>
            </w:r>
          </w:p>
        </w:tc>
      </w:tr>
      <w:tr>
        <w:tc>
          <w:tcPr>
            <w:tcW w:type="dxa" w:w="907"/>
          </w:tcPr>
          <w:p>
            <w:pPr>
              <w:spacing w:after="0"/>
            </w:pPr>
            <w:r>
              <w:rPr>
                <w:sz w:val="19"/>
              </w:rPr>
              <w:t>CLO 3</w:t>
            </w:r>
          </w:p>
        </w:tc>
        <w:tc>
          <w:tcPr>
            <w:tcW w:type="dxa" w:w="7597"/>
          </w:tcPr>
          <w:p>
            <w:pPr>
              <w:spacing w:after="0"/>
            </w:pPr>
            <w:r>
              <w:rPr>
                <w:sz w:val="19"/>
              </w:rPr>
              <w:t>Analyze the impact of innovation, entrepreneurship and sustainability on society and the economy.</w:t>
            </w:r>
          </w:p>
        </w:tc>
        <w:tc>
          <w:tcPr>
            <w:tcW w:type="dxa" w:w="1134"/>
          </w:tcPr>
          <w:p>
            <w:pPr>
              <w:spacing w:after="0"/>
              <w:jc w:val="center"/>
            </w:pPr>
            <w:r>
              <w:rPr>
                <w:b/>
                <w:sz w:val="19"/>
              </w:rPr>
              <w:t>2, 6</w:t>
            </w:r>
          </w:p>
        </w:tc>
      </w:tr>
      <w:tr>
        <w:tc>
          <w:tcPr>
            <w:tcW w:type="dxa" w:w="907"/>
          </w:tcPr>
          <w:p>
            <w:pPr>
              <w:spacing w:after="0"/>
            </w:pPr>
            <w:r>
              <w:rPr>
                <w:sz w:val="19"/>
              </w:rPr>
              <w:t>CLO 4</w:t>
            </w:r>
          </w:p>
        </w:tc>
        <w:tc>
          <w:tcPr>
            <w:tcW w:type="dxa" w:w="7597"/>
          </w:tcPr>
          <w:p>
            <w:pPr>
              <w:spacing w:after="0"/>
            </w:pPr>
            <w:r>
              <w:rPr>
                <w:sz w:val="19"/>
              </w:rPr>
              <w:t>Articulate the value of innovation, entrepreneurship, and sustainability in shaping own career paths focusing on continuous learning and personal development.</w:t>
            </w:r>
          </w:p>
        </w:tc>
        <w:tc>
          <w:tcPr>
            <w:tcW w:type="dxa" w:w="1134"/>
          </w:tcPr>
          <w:p>
            <w:pPr>
              <w:spacing w:after="0"/>
              <w:jc w:val="center"/>
            </w:pPr>
            <w:r>
              <w:rPr>
                <w:b/>
                <w:sz w:val="19"/>
              </w:rPr>
              <w:t>7</w:t>
            </w:r>
          </w:p>
        </w:tc>
      </w:tr>
    </w:tbl>
    <w:p>
      <w:pPr>
        <w:spacing w:after="40"/>
      </w:pPr>
    </w:p>
    <w:p>
      <w:pPr>
        <w:tabs>
          <w:tab w:pos="680" w:val="left"/>
        </w:tabs>
        <w:spacing w:before="200" w:after="80"/>
      </w:pPr>
      <w:r>
        <w:rPr>
          <w:b/>
          <w:sz w:val="24"/>
        </w:rPr>
        <w:t>4.</w:t>
        <w:tab/>
        <w:t>TEACHING SCHEDULE</w:t>
      </w:r>
    </w:p>
    <w:p>
      <w:pPr>
        <w:tabs>
          <w:tab w:pos="680" w:val="left"/>
        </w:tabs>
        <w:spacing w:before="200" w:after="80"/>
      </w:pPr>
      <w:r>
        <w:rPr>
          <w:b/>
          <w:sz w:val="22"/>
        </w:rPr>
        <w:t>4.1</w:t>
        <w:tab/>
        <w:t>Lab Schedule</w:t>
      </w:r>
    </w:p>
    <w:tbl>
      <w:tblPr>
        <w:tblStyle w:val="TableGrid"/>
        <w:tblW w:type="auto" w:w="0"/>
        <w:jc w:val="center"/>
        <w:tblLayout w:type="fixed"/>
        <w:tblLook w:firstColumn="1" w:firstRow="1" w:lastColumn="0" w:lastRow="0" w:noHBand="0" w:noVBand="1" w:val="04A0"/>
      </w:tblPr>
      <w:tblGrid>
        <w:gridCol w:w="737"/>
        <w:gridCol w:w="1984"/>
        <w:gridCol w:w="2494"/>
        <w:gridCol w:w="737"/>
        <w:gridCol w:w="1927"/>
        <w:gridCol w:w="1757"/>
      </w:tblGrid>
      <w:tr>
        <w:tc>
          <w:tcPr>
            <w:tcW w:type="dxa" w:w="737"/>
            <w:shd w:val="clear" w:color="auto" w:fill="C00000"/>
          </w:tcPr>
          <w:p>
            <w:pPr>
              <w:spacing w:after="0"/>
              <w:jc w:val="center"/>
            </w:pPr>
            <w:r>
              <w:rPr>
                <w:b/>
                <w:color w:val="FFFFFF"/>
                <w:sz w:val="19"/>
              </w:rPr>
              <w:t>Week No.</w:t>
            </w:r>
          </w:p>
        </w:tc>
        <w:tc>
          <w:tcPr>
            <w:tcW w:type="dxa" w:w="1984"/>
            <w:shd w:val="clear" w:color="auto" w:fill="C00000"/>
          </w:tcPr>
          <w:p>
            <w:pPr>
              <w:spacing w:after="0"/>
              <w:jc w:val="center"/>
            </w:pPr>
            <w:r>
              <w:rPr>
                <w:b/>
                <w:color w:val="FFFFFF"/>
                <w:sz w:val="19"/>
              </w:rPr>
              <w:t>Topic Covered in Class</w:t>
            </w:r>
          </w:p>
        </w:tc>
        <w:tc>
          <w:tcPr>
            <w:tcW w:type="dxa" w:w="2494"/>
            <w:shd w:val="clear" w:color="auto" w:fill="C00000"/>
          </w:tcPr>
          <w:p>
            <w:pPr>
              <w:spacing w:after="0"/>
              <w:jc w:val="center"/>
            </w:pPr>
            <w:r>
              <w:rPr>
                <w:b/>
                <w:color w:val="FFFFFF"/>
                <w:sz w:val="19"/>
              </w:rPr>
              <w:t>In-Class Activity / Experiential Component</w:t>
            </w:r>
          </w:p>
        </w:tc>
        <w:tc>
          <w:tcPr>
            <w:tcW w:type="dxa" w:w="737"/>
            <w:shd w:val="clear" w:color="auto" w:fill="C00000"/>
          </w:tcPr>
          <w:p>
            <w:pPr>
              <w:spacing w:after="0"/>
              <w:jc w:val="center"/>
            </w:pPr>
            <w:r>
              <w:rPr>
                <w:b/>
                <w:color w:val="FFFFFF"/>
                <w:sz w:val="19"/>
              </w:rPr>
              <w:t>CLOs</w:t>
            </w:r>
          </w:p>
        </w:tc>
        <w:tc>
          <w:tcPr>
            <w:tcW w:type="dxa" w:w="1928"/>
            <w:shd w:val="clear" w:color="auto" w:fill="C00000"/>
          </w:tcPr>
          <w:p>
            <w:pPr>
              <w:spacing w:after="0"/>
              <w:jc w:val="center"/>
            </w:pPr>
            <w:r>
              <w:rPr>
                <w:b/>
                <w:color w:val="FFFFFF"/>
                <w:sz w:val="19"/>
              </w:rPr>
              <w:t>Reference/ Course Material</w:t>
            </w:r>
          </w:p>
        </w:tc>
        <w:tc>
          <w:tcPr>
            <w:tcW w:type="dxa" w:w="1757"/>
            <w:shd w:val="clear" w:color="auto" w:fill="C00000"/>
          </w:tcPr>
          <w:p>
            <w:pPr>
              <w:spacing w:after="0"/>
              <w:jc w:val="center"/>
            </w:pPr>
            <w:r>
              <w:rPr>
                <w:b/>
                <w:color w:val="FFFFFF"/>
                <w:sz w:val="19"/>
              </w:rPr>
              <w:t>Course Assessment</w:t>
            </w:r>
          </w:p>
        </w:tc>
      </w:tr>
      <w:tr>
        <w:tc>
          <w:tcPr>
            <w:tcW w:type="dxa" w:w="737"/>
          </w:tcPr>
          <w:p>
            <w:pPr>
              <w:spacing w:after="0"/>
              <w:jc w:val="center"/>
            </w:pPr>
            <w:r>
              <w:rPr>
                <w:b/>
                <w:sz w:val="19"/>
              </w:rPr>
              <w:t>1</w:t>
            </w:r>
          </w:p>
        </w:tc>
        <w:tc>
          <w:tcPr>
            <w:tcW w:type="dxa" w:w="1984"/>
          </w:tcPr>
          <w:p>
            <w:pPr>
              <w:spacing w:after="0"/>
            </w:pPr>
            <w:r>
              <w:rPr>
                <w:b/>
                <w:sz w:val="19"/>
              </w:rPr>
              <w:t>ENT 141 Prototype → MVP</w:t>
            </w:r>
          </w:p>
        </w:tc>
        <w:tc>
          <w:tcPr>
            <w:tcW w:type="dxa" w:w="2494"/>
          </w:tcPr>
          <w:p>
            <w:pPr>
              <w:spacing w:after="0"/>
            </w:pPr>
            <w:r>
              <w:rPr>
                <w:sz w:val="19"/>
              </w:rPr>
              <w:t>Prototype Exhibition: core value vs unnecessary features</w:t>
            </w:r>
          </w:p>
        </w:tc>
        <w:tc>
          <w:tcPr>
            <w:tcW w:type="dxa" w:w="737"/>
          </w:tcPr>
          <w:p>
            <w:pPr>
              <w:spacing w:after="0"/>
              <w:jc w:val="center"/>
            </w:pPr>
            <w:r>
              <w:rPr>
                <w:sz w:val="19"/>
              </w:rPr>
              <w:t>1</w:t>
            </w:r>
          </w:p>
        </w:tc>
        <w:tc>
          <w:tcPr>
            <w:tcW w:type="dxa" w:w="1928"/>
          </w:tcPr>
          <w:p>
            <w:pPr>
              <w:spacing w:after="0"/>
            </w:pPr>
            <w:r>
              <w:rPr>
                <w:sz w:val="19"/>
              </w:rPr>
              <w:t>Laverty &amp; Littel (2020) §10.1</w:t>
            </w:r>
          </w:p>
        </w:tc>
        <w:tc>
          <w:tcPr>
            <w:tcW w:type="dxa" w:w="1757"/>
          </w:tcPr>
          <w:p>
            <w:pPr>
              <w:spacing w:after="0"/>
              <w:jc w:val="center"/>
            </w:pPr>
          </w:p>
        </w:tc>
      </w:tr>
      <w:tr>
        <w:tc>
          <w:tcPr>
            <w:tcW w:type="dxa" w:w="737"/>
          </w:tcPr>
          <w:p>
            <w:pPr>
              <w:spacing w:after="0"/>
              <w:jc w:val="center"/>
            </w:pPr>
            <w:r>
              <w:rPr>
                <w:b/>
                <w:sz w:val="19"/>
              </w:rPr>
              <w:t>2</w:t>
            </w:r>
          </w:p>
        </w:tc>
        <w:tc>
          <w:tcPr>
            <w:tcW w:type="dxa" w:w="1984"/>
          </w:tcPr>
          <w:p>
            <w:pPr>
              <w:spacing w:after="0"/>
            </w:pPr>
            <w:r>
              <w:rPr>
                <w:b/>
                <w:sz w:val="19"/>
              </w:rPr>
              <w:t>MVP Development</w:t>
            </w:r>
          </w:p>
        </w:tc>
        <w:tc>
          <w:tcPr>
            <w:tcW w:type="dxa" w:w="2494"/>
          </w:tcPr>
          <w:p>
            <w:pPr>
              <w:spacing w:after="0"/>
            </w:pPr>
            <w:r>
              <w:rPr>
                <w:sz w:val="19"/>
              </w:rPr>
              <w:t>Riskiest Assumption Challenge</w:t>
            </w:r>
          </w:p>
        </w:tc>
        <w:tc>
          <w:tcPr>
            <w:tcW w:type="dxa" w:w="737"/>
          </w:tcPr>
          <w:p>
            <w:pPr>
              <w:spacing w:after="0"/>
              <w:jc w:val="center"/>
            </w:pPr>
            <w:r>
              <w:rPr>
                <w:sz w:val="19"/>
              </w:rPr>
              <w:t>1</w:t>
            </w:r>
          </w:p>
        </w:tc>
        <w:tc>
          <w:tcPr>
            <w:tcW w:type="dxa" w:w="1928"/>
          </w:tcPr>
          <w:p>
            <w:pPr>
              <w:spacing w:after="0"/>
            </w:pPr>
            <w:r>
              <w:rPr>
                <w:sz w:val="19"/>
              </w:rPr>
              <w:t>Bland &amp; Osterwalder (2019)</w:t>
            </w:r>
          </w:p>
        </w:tc>
        <w:tc>
          <w:tcPr>
            <w:tcW w:type="dxa" w:w="1757"/>
          </w:tcPr>
          <w:p>
            <w:pPr>
              <w:spacing w:after="0"/>
              <w:jc w:val="center"/>
            </w:pPr>
          </w:p>
        </w:tc>
      </w:tr>
      <w:tr>
        <w:tc>
          <w:tcPr>
            <w:tcW w:type="dxa" w:w="737"/>
          </w:tcPr>
          <w:p>
            <w:pPr>
              <w:spacing w:after="0"/>
              <w:jc w:val="center"/>
            </w:pPr>
            <w:r>
              <w:rPr>
                <w:b/>
                <w:sz w:val="19"/>
              </w:rPr>
              <w:t>3</w:t>
            </w:r>
          </w:p>
        </w:tc>
        <w:tc>
          <w:tcPr>
            <w:tcW w:type="dxa" w:w="1984"/>
          </w:tcPr>
          <w:p>
            <w:pPr>
              <w:spacing w:after="0"/>
            </w:pPr>
            <w:r>
              <w:rPr>
                <w:b/>
                <w:sz w:val="19"/>
              </w:rPr>
              <w:t>Prototype Building Studio 1</w:t>
            </w:r>
          </w:p>
        </w:tc>
        <w:tc>
          <w:tcPr>
            <w:tcW w:type="dxa" w:w="2494"/>
          </w:tcPr>
          <w:p>
            <w:pPr>
              <w:spacing w:after="0"/>
            </w:pPr>
            <w:r>
              <w:rPr>
                <w:sz w:val="19"/>
              </w:rPr>
              <w:t>MVP Build Sprint with founder check-ins</w:t>
            </w:r>
          </w:p>
        </w:tc>
        <w:tc>
          <w:tcPr>
            <w:tcW w:type="dxa" w:w="737"/>
          </w:tcPr>
          <w:p>
            <w:pPr>
              <w:spacing w:after="0"/>
              <w:jc w:val="center"/>
            </w:pPr>
            <w:r>
              <w:rPr>
                <w:sz w:val="19"/>
              </w:rPr>
              <w:t>1</w:t>
            </w:r>
          </w:p>
        </w:tc>
        <w:tc>
          <w:tcPr>
            <w:tcW w:type="dxa" w:w="1928"/>
          </w:tcPr>
          <w:p>
            <w:pPr>
              <w:spacing w:after="0"/>
            </w:pPr>
            <w:r>
              <w:rPr>
                <w:sz w:val="19"/>
              </w:rPr>
              <w:t>Bland &amp; Osterwalder (2019)</w:t>
            </w:r>
          </w:p>
        </w:tc>
        <w:tc>
          <w:tcPr>
            <w:tcW w:type="dxa" w:w="1757"/>
          </w:tcPr>
          <w:p>
            <w:pPr>
              <w:spacing w:after="0"/>
              <w:jc w:val="center"/>
            </w:pPr>
          </w:p>
        </w:tc>
      </w:tr>
      <w:tr>
        <w:tc>
          <w:tcPr>
            <w:tcW w:type="dxa" w:w="737"/>
            <w:shd w:val="clear" w:color="auto" w:fill="FDF0F0"/>
          </w:tcPr>
          <w:p>
            <w:pPr>
              <w:spacing w:after="0"/>
              <w:jc w:val="center"/>
            </w:pPr>
            <w:r>
              <w:rPr>
                <w:b/>
                <w:sz w:val="19"/>
              </w:rPr>
              <w:t>4</w:t>
            </w:r>
          </w:p>
        </w:tc>
        <w:tc>
          <w:tcPr>
            <w:tcW w:type="dxa" w:w="1984"/>
            <w:shd w:val="clear" w:color="auto" w:fill="FDF0F0"/>
          </w:tcPr>
          <w:p>
            <w:pPr>
              <w:spacing w:after="0"/>
            </w:pPr>
            <w:r>
              <w:rPr>
                <w:b/>
                <w:sz w:val="19"/>
              </w:rPr>
              <w:t>Prototype Building Studio 2</w:t>
            </w:r>
          </w:p>
        </w:tc>
        <w:tc>
          <w:tcPr>
            <w:tcW w:type="dxa" w:w="2494"/>
            <w:shd w:val="clear" w:color="auto" w:fill="FDF0F0"/>
          </w:tcPr>
          <w:p>
            <w:pPr>
              <w:spacing w:after="0"/>
            </w:pPr>
            <w:r>
              <w:rPr>
                <w:sz w:val="19"/>
              </w:rPr>
              <w:t>Break My MVP Challenge · Create A1</w:t>
            </w:r>
          </w:p>
        </w:tc>
        <w:tc>
          <w:tcPr>
            <w:tcW w:type="dxa" w:w="737"/>
            <w:shd w:val="clear" w:color="auto" w:fill="FDF0F0"/>
          </w:tcPr>
          <w:p>
            <w:pPr>
              <w:spacing w:after="0"/>
              <w:jc w:val="center"/>
            </w:pPr>
            <w:r>
              <w:rPr>
                <w:sz w:val="19"/>
              </w:rPr>
              <w:t>1, 2</w:t>
            </w:r>
          </w:p>
        </w:tc>
        <w:tc>
          <w:tcPr>
            <w:tcW w:type="dxa" w:w="1928"/>
            <w:shd w:val="clear" w:color="auto" w:fill="FDF0F0"/>
          </w:tcPr>
          <w:p>
            <w:pPr>
              <w:spacing w:after="0"/>
            </w:pPr>
            <w:r>
              <w:rPr>
                <w:sz w:val="19"/>
              </w:rPr>
              <w:t>Bland &amp; Osterwalder (2019)</w:t>
            </w:r>
          </w:p>
        </w:tc>
        <w:tc>
          <w:tcPr>
            <w:tcW w:type="dxa" w:w="1757"/>
            <w:shd w:val="clear" w:color="auto" w:fill="FDF0F0"/>
          </w:tcPr>
          <w:p>
            <w:pPr>
              <w:spacing w:after="0"/>
              <w:jc w:val="center"/>
            </w:pPr>
            <w:r>
              <w:rPr>
                <w:b/>
                <w:sz w:val="19"/>
              </w:rPr>
              <w:t>A1 MVP Plan + Build</w:t>
            </w:r>
          </w:p>
        </w:tc>
      </w:tr>
      <w:tr>
        <w:tc>
          <w:tcPr>
            <w:tcW w:type="dxa" w:w="737"/>
          </w:tcPr>
          <w:p>
            <w:pPr>
              <w:spacing w:after="0"/>
              <w:jc w:val="center"/>
            </w:pPr>
            <w:r>
              <w:rPr>
                <w:b/>
                <w:sz w:val="19"/>
              </w:rPr>
              <w:t>5</w:t>
            </w:r>
          </w:p>
        </w:tc>
        <w:tc>
          <w:tcPr>
            <w:tcW w:type="dxa" w:w="1984"/>
          </w:tcPr>
          <w:p>
            <w:pPr>
              <w:spacing w:after="0"/>
            </w:pPr>
            <w:r>
              <w:rPr>
                <w:b/>
                <w:sz w:val="19"/>
              </w:rPr>
              <w:t>Exhibition &amp; User-Testing Preparation</w:t>
            </w:r>
          </w:p>
        </w:tc>
        <w:tc>
          <w:tcPr>
            <w:tcW w:type="dxa" w:w="2494"/>
          </w:tcPr>
          <w:p>
            <w:pPr>
              <w:spacing w:after="0"/>
            </w:pPr>
            <w:r>
              <w:rPr>
                <w:sz w:val="19"/>
              </w:rPr>
              <w:t>Customer Experiment Workshop</w:t>
            </w:r>
          </w:p>
        </w:tc>
        <w:tc>
          <w:tcPr>
            <w:tcW w:type="dxa" w:w="737"/>
          </w:tcPr>
          <w:p>
            <w:pPr>
              <w:spacing w:after="0"/>
              <w:jc w:val="center"/>
            </w:pPr>
            <w:r>
              <w:rPr>
                <w:sz w:val="19"/>
              </w:rPr>
              <w:t>1</w:t>
            </w:r>
          </w:p>
        </w:tc>
        <w:tc>
          <w:tcPr>
            <w:tcW w:type="dxa" w:w="1928"/>
          </w:tcPr>
          <w:p>
            <w:pPr>
              <w:spacing w:after="0"/>
            </w:pPr>
            <w:r>
              <w:rPr>
                <w:sz w:val="19"/>
              </w:rPr>
              <w:t>Liedtka et al. (2017)</w:t>
            </w:r>
          </w:p>
        </w:tc>
        <w:tc>
          <w:tcPr>
            <w:tcW w:type="dxa" w:w="1757"/>
          </w:tcPr>
          <w:p>
            <w:pPr>
              <w:spacing w:after="0"/>
              <w:jc w:val="center"/>
            </w:pPr>
          </w:p>
        </w:tc>
      </w:tr>
      <w:tr>
        <w:tc>
          <w:tcPr>
            <w:tcW w:type="dxa" w:w="737"/>
          </w:tcPr>
          <w:p>
            <w:pPr>
              <w:spacing w:after="0"/>
              <w:jc w:val="center"/>
            </w:pPr>
            <w:r>
              <w:rPr>
                <w:b/>
                <w:sz w:val="19"/>
              </w:rPr>
              <w:t>6</w:t>
            </w:r>
          </w:p>
        </w:tc>
        <w:tc>
          <w:tcPr>
            <w:tcW w:type="dxa" w:w="1984"/>
          </w:tcPr>
          <w:p>
            <w:pPr>
              <w:spacing w:after="0"/>
            </w:pPr>
            <w:r>
              <w:rPr>
                <w:b/>
                <w:sz w:val="19"/>
              </w:rPr>
              <w:t>Live Exhibition</w:t>
            </w:r>
          </w:p>
        </w:tc>
        <w:tc>
          <w:tcPr>
            <w:tcW w:type="dxa" w:w="2494"/>
          </w:tcPr>
          <w:p>
            <w:pPr>
              <w:spacing w:after="0"/>
            </w:pPr>
            <w:r>
              <w:rPr>
                <w:sz w:val="19"/>
              </w:rPr>
              <w:t>MVP Challenge / Innovation Exhibition with real users</w:t>
            </w:r>
          </w:p>
        </w:tc>
        <w:tc>
          <w:tcPr>
            <w:tcW w:type="dxa" w:w="737"/>
          </w:tcPr>
          <w:p>
            <w:pPr>
              <w:spacing w:after="0"/>
              <w:jc w:val="center"/>
            </w:pPr>
            <w:r>
              <w:rPr>
                <w:sz w:val="19"/>
              </w:rPr>
              <w:t>2, 3</w:t>
            </w:r>
          </w:p>
        </w:tc>
        <w:tc>
          <w:tcPr>
            <w:tcW w:type="dxa" w:w="1928"/>
          </w:tcPr>
          <w:p>
            <w:pPr>
              <w:spacing w:after="0"/>
            </w:pPr>
            <w:r>
              <w:rPr>
                <w:sz w:val="19"/>
              </w:rPr>
              <w:t>Liedtka et al. (2017)</w:t>
            </w:r>
          </w:p>
        </w:tc>
        <w:tc>
          <w:tcPr>
            <w:tcW w:type="dxa" w:w="1757"/>
          </w:tcPr>
          <w:p>
            <w:pPr>
              <w:spacing w:after="0"/>
              <w:jc w:val="center"/>
            </w:pPr>
          </w:p>
        </w:tc>
      </w:tr>
      <w:tr>
        <w:tc>
          <w:tcPr>
            <w:tcW w:type="dxa" w:w="737"/>
          </w:tcPr>
          <w:p>
            <w:pPr>
              <w:spacing w:after="0"/>
              <w:jc w:val="center"/>
            </w:pPr>
            <w:r>
              <w:rPr>
                <w:b/>
                <w:sz w:val="19"/>
              </w:rPr>
              <w:t>7</w:t>
            </w:r>
          </w:p>
        </w:tc>
        <w:tc>
          <w:tcPr>
            <w:tcW w:type="dxa" w:w="1984"/>
          </w:tcPr>
          <w:p>
            <w:pPr>
              <w:spacing w:after="0"/>
            </w:pPr>
            <w:r>
              <w:rPr>
                <w:b/>
                <w:sz w:val="19"/>
              </w:rPr>
              <w:t>Feedback Analysis</w:t>
            </w:r>
          </w:p>
        </w:tc>
        <w:tc>
          <w:tcPr>
            <w:tcW w:type="dxa" w:w="2494"/>
          </w:tcPr>
          <w:p>
            <w:pPr>
              <w:spacing w:after="0"/>
            </w:pPr>
            <w:r>
              <w:rPr>
                <w:sz w:val="19"/>
              </w:rPr>
              <w:t>Feedback Detective: Keep / Change / Ignore / Need more evidence</w:t>
            </w:r>
          </w:p>
        </w:tc>
        <w:tc>
          <w:tcPr>
            <w:tcW w:type="dxa" w:w="737"/>
          </w:tcPr>
          <w:p>
            <w:pPr>
              <w:spacing w:after="0"/>
              <w:jc w:val="center"/>
            </w:pPr>
            <w:r>
              <w:rPr>
                <w:sz w:val="19"/>
              </w:rPr>
              <w:t>3</w:t>
            </w:r>
          </w:p>
        </w:tc>
        <w:tc>
          <w:tcPr>
            <w:tcW w:type="dxa" w:w="1928"/>
          </w:tcPr>
          <w:p>
            <w:pPr>
              <w:spacing w:after="0"/>
            </w:pPr>
            <w:r>
              <w:rPr>
                <w:sz w:val="19"/>
              </w:rPr>
              <w:t>Bland &amp; Osterwalder (2019)</w:t>
            </w:r>
          </w:p>
        </w:tc>
        <w:tc>
          <w:tcPr>
            <w:tcW w:type="dxa" w:w="1757"/>
          </w:tcPr>
          <w:p>
            <w:pPr>
              <w:spacing w:after="0"/>
              <w:jc w:val="center"/>
            </w:pPr>
          </w:p>
        </w:tc>
      </w:tr>
      <w:tr>
        <w:tc>
          <w:tcPr>
            <w:tcW w:type="dxa" w:w="737"/>
            <w:shd w:val="clear" w:color="auto" w:fill="FDF0F0"/>
          </w:tcPr>
          <w:p>
            <w:pPr>
              <w:spacing w:after="0"/>
              <w:jc w:val="center"/>
            </w:pPr>
            <w:r>
              <w:rPr>
                <w:b/>
                <w:sz w:val="19"/>
              </w:rPr>
              <w:t>8</w:t>
            </w:r>
          </w:p>
        </w:tc>
        <w:tc>
          <w:tcPr>
            <w:tcW w:type="dxa" w:w="1984"/>
            <w:shd w:val="clear" w:color="auto" w:fill="FDF0F0"/>
          </w:tcPr>
          <w:p>
            <w:pPr>
              <w:spacing w:after="0"/>
            </w:pPr>
            <w:r>
              <w:rPr>
                <w:b/>
                <w:sz w:val="19"/>
              </w:rPr>
              <w:t>Testing Results</w:t>
            </w:r>
          </w:p>
        </w:tc>
        <w:tc>
          <w:tcPr>
            <w:tcW w:type="dxa" w:w="2494"/>
            <w:shd w:val="clear" w:color="auto" w:fill="FDF0F0"/>
          </w:tcPr>
          <w:p>
            <w:pPr>
              <w:spacing w:after="0"/>
            </w:pPr>
            <w:r>
              <w:rPr>
                <w:sz w:val="19"/>
              </w:rPr>
              <w:t>Build–Measure–Learn Presentation · Create A2</w:t>
            </w:r>
          </w:p>
        </w:tc>
        <w:tc>
          <w:tcPr>
            <w:tcW w:type="dxa" w:w="737"/>
            <w:shd w:val="clear" w:color="auto" w:fill="FDF0F0"/>
          </w:tcPr>
          <w:p>
            <w:pPr>
              <w:spacing w:after="0"/>
              <w:jc w:val="center"/>
            </w:pPr>
            <w:r>
              <w:rPr>
                <w:sz w:val="19"/>
              </w:rPr>
              <w:t>1, 3</w:t>
            </w:r>
          </w:p>
        </w:tc>
        <w:tc>
          <w:tcPr>
            <w:tcW w:type="dxa" w:w="1928"/>
            <w:shd w:val="clear" w:color="auto" w:fill="FDF0F0"/>
          </w:tcPr>
          <w:p>
            <w:pPr>
              <w:spacing w:after="0"/>
            </w:pPr>
            <w:r>
              <w:rPr>
                <w:sz w:val="19"/>
              </w:rPr>
              <w:t>Ries (2011); Laverty &amp; Littel §10.1</w:t>
            </w:r>
          </w:p>
        </w:tc>
        <w:tc>
          <w:tcPr>
            <w:tcW w:type="dxa" w:w="1757"/>
            <w:shd w:val="clear" w:color="auto" w:fill="FDF0F0"/>
          </w:tcPr>
          <w:p>
            <w:pPr>
              <w:spacing w:after="0"/>
              <w:jc w:val="center"/>
            </w:pPr>
            <w:r>
              <w:rPr>
                <w:b/>
                <w:sz w:val="19"/>
              </w:rPr>
              <w:t>A2 Build–Measure–Learn Presentation</w:t>
            </w:r>
          </w:p>
        </w:tc>
      </w:tr>
      <w:tr>
        <w:tc>
          <w:tcPr>
            <w:tcW w:type="dxa" w:w="737"/>
          </w:tcPr>
          <w:p>
            <w:pPr>
              <w:spacing w:after="0"/>
              <w:jc w:val="center"/>
            </w:pPr>
            <w:r>
              <w:rPr>
                <w:b/>
                <w:sz w:val="19"/>
              </w:rPr>
              <w:t>9</w:t>
            </w:r>
          </w:p>
        </w:tc>
        <w:tc>
          <w:tcPr>
            <w:tcW w:type="dxa" w:w="1984"/>
          </w:tcPr>
          <w:p>
            <w:pPr>
              <w:spacing w:after="0"/>
            </w:pPr>
            <w:r>
              <w:rPr>
                <w:b/>
                <w:sz w:val="19"/>
              </w:rPr>
              <w:t>Desirability, Feasibility &amp; Viability</w:t>
            </w:r>
          </w:p>
        </w:tc>
        <w:tc>
          <w:tcPr>
            <w:tcW w:type="dxa" w:w="2494"/>
          </w:tcPr>
          <w:p>
            <w:pPr>
              <w:spacing w:after="0"/>
            </w:pPr>
            <w:r>
              <w:rPr>
                <w:sz w:val="19"/>
              </w:rPr>
              <w:t>DFV Evidence Wall</w:t>
            </w:r>
          </w:p>
        </w:tc>
        <w:tc>
          <w:tcPr>
            <w:tcW w:type="dxa" w:w="737"/>
          </w:tcPr>
          <w:p>
            <w:pPr>
              <w:spacing w:after="0"/>
              <w:jc w:val="center"/>
            </w:pPr>
            <w:r>
              <w:rPr>
                <w:sz w:val="19"/>
              </w:rPr>
              <w:t>3</w:t>
            </w:r>
          </w:p>
        </w:tc>
        <w:tc>
          <w:tcPr>
            <w:tcW w:type="dxa" w:w="1928"/>
          </w:tcPr>
          <w:p>
            <w:pPr>
              <w:spacing w:after="0"/>
            </w:pPr>
            <w:r>
              <w:rPr>
                <w:sz w:val="19"/>
              </w:rPr>
              <w:t>Bland &amp; Osterwalder (2019)</w:t>
            </w:r>
          </w:p>
        </w:tc>
        <w:tc>
          <w:tcPr>
            <w:tcW w:type="dxa" w:w="1757"/>
          </w:tcPr>
          <w:p>
            <w:pPr>
              <w:spacing w:after="0"/>
              <w:jc w:val="center"/>
            </w:pPr>
          </w:p>
        </w:tc>
      </w:tr>
      <w:tr>
        <w:tc>
          <w:tcPr>
            <w:tcW w:type="dxa" w:w="737"/>
          </w:tcPr>
          <w:p>
            <w:pPr>
              <w:spacing w:after="0"/>
              <w:jc w:val="center"/>
            </w:pPr>
            <w:r>
              <w:rPr>
                <w:b/>
                <w:sz w:val="19"/>
              </w:rPr>
              <w:t>10</w:t>
            </w:r>
          </w:p>
        </w:tc>
        <w:tc>
          <w:tcPr>
            <w:tcW w:type="dxa" w:w="1984"/>
          </w:tcPr>
          <w:p>
            <w:pPr>
              <w:spacing w:after="0"/>
            </w:pPr>
            <w:r>
              <w:rPr>
                <w:b/>
                <w:sz w:val="19"/>
              </w:rPr>
              <w:t>Desirability</w:t>
            </w:r>
          </w:p>
        </w:tc>
        <w:tc>
          <w:tcPr>
            <w:tcW w:type="dxa" w:w="2494"/>
          </w:tcPr>
          <w:p>
            <w:pPr>
              <w:spacing w:after="0"/>
            </w:pPr>
            <w:r>
              <w:rPr>
                <w:sz w:val="19"/>
              </w:rPr>
              <w:t>Customer Evidence Court</w:t>
            </w:r>
          </w:p>
        </w:tc>
        <w:tc>
          <w:tcPr>
            <w:tcW w:type="dxa" w:w="737"/>
          </w:tcPr>
          <w:p>
            <w:pPr>
              <w:spacing w:after="0"/>
              <w:jc w:val="center"/>
            </w:pPr>
            <w:r>
              <w:rPr>
                <w:sz w:val="19"/>
              </w:rPr>
              <w:t>3</w:t>
            </w:r>
          </w:p>
        </w:tc>
        <w:tc>
          <w:tcPr>
            <w:tcW w:type="dxa" w:w="1928"/>
          </w:tcPr>
          <w:p>
            <w:pPr>
              <w:spacing w:after="0"/>
            </w:pPr>
            <w:r>
              <w:rPr>
                <w:sz w:val="19"/>
              </w:rPr>
              <w:t>Bland &amp; Osterwalder (2019)</w:t>
            </w:r>
          </w:p>
        </w:tc>
        <w:tc>
          <w:tcPr>
            <w:tcW w:type="dxa" w:w="1757"/>
          </w:tcPr>
          <w:p>
            <w:pPr>
              <w:spacing w:after="0"/>
              <w:jc w:val="center"/>
            </w:pPr>
          </w:p>
        </w:tc>
      </w:tr>
      <w:tr>
        <w:tc>
          <w:tcPr>
            <w:tcW w:type="dxa" w:w="737"/>
            <w:shd w:val="clear" w:color="auto" w:fill="FDF0F0"/>
          </w:tcPr>
          <w:p>
            <w:pPr>
              <w:spacing w:after="0"/>
              <w:jc w:val="center"/>
            </w:pPr>
            <w:r>
              <w:rPr>
                <w:b/>
                <w:sz w:val="19"/>
              </w:rPr>
              <w:t>11</w:t>
            </w:r>
          </w:p>
        </w:tc>
        <w:tc>
          <w:tcPr>
            <w:tcW w:type="dxa" w:w="1984"/>
            <w:shd w:val="clear" w:color="auto" w:fill="FDF0F0"/>
          </w:tcPr>
          <w:p>
            <w:pPr>
              <w:spacing w:after="0"/>
            </w:pPr>
            <w:r>
              <w:rPr>
                <w:b/>
                <w:sz w:val="19"/>
              </w:rPr>
              <w:t>Feasibility &amp; Viability</w:t>
            </w:r>
          </w:p>
        </w:tc>
        <w:tc>
          <w:tcPr>
            <w:tcW w:type="dxa" w:w="2494"/>
            <w:shd w:val="clear" w:color="auto" w:fill="FDF0F0"/>
          </w:tcPr>
          <w:p>
            <w:pPr>
              <w:spacing w:after="0"/>
            </w:pPr>
            <w:r>
              <w:rPr>
                <w:sz w:val="19"/>
              </w:rPr>
              <w:t>Startup Reality Check Workshop · Create A3</w:t>
            </w:r>
          </w:p>
        </w:tc>
        <w:tc>
          <w:tcPr>
            <w:tcW w:type="dxa" w:w="737"/>
            <w:shd w:val="clear" w:color="auto" w:fill="FDF0F0"/>
          </w:tcPr>
          <w:p>
            <w:pPr>
              <w:spacing w:after="0"/>
              <w:jc w:val="center"/>
            </w:pPr>
            <w:r>
              <w:rPr>
                <w:sz w:val="19"/>
              </w:rPr>
              <w:t>3</w:t>
            </w:r>
          </w:p>
        </w:tc>
        <w:tc>
          <w:tcPr>
            <w:tcW w:type="dxa" w:w="1928"/>
            <w:shd w:val="clear" w:color="auto" w:fill="FDF0F0"/>
          </w:tcPr>
          <w:p>
            <w:pPr>
              <w:spacing w:after="0"/>
            </w:pPr>
            <w:r>
              <w:rPr>
                <w:sz w:val="19"/>
              </w:rPr>
              <w:t>Byers et al (2019). Ch. 4, 7</w:t>
            </w:r>
          </w:p>
        </w:tc>
        <w:tc>
          <w:tcPr>
            <w:tcW w:type="dxa" w:w="1757"/>
            <w:shd w:val="clear" w:color="auto" w:fill="FDF0F0"/>
          </w:tcPr>
          <w:p>
            <w:pPr>
              <w:spacing w:after="0"/>
              <w:jc w:val="center"/>
            </w:pPr>
            <w:r>
              <w:rPr>
                <w:b/>
                <w:sz w:val="19"/>
              </w:rPr>
              <w:t>A3 DFV Evidence Report</w:t>
            </w:r>
          </w:p>
        </w:tc>
      </w:tr>
      <w:tr>
        <w:tc>
          <w:tcPr>
            <w:tcW w:type="dxa" w:w="737"/>
          </w:tcPr>
          <w:p>
            <w:pPr>
              <w:spacing w:after="0"/>
              <w:jc w:val="center"/>
            </w:pPr>
            <w:r>
              <w:rPr>
                <w:b/>
                <w:sz w:val="19"/>
              </w:rPr>
              <w:t>12</w:t>
            </w:r>
          </w:p>
        </w:tc>
        <w:tc>
          <w:tcPr>
            <w:tcW w:type="dxa" w:w="1984"/>
          </w:tcPr>
          <w:p>
            <w:pPr>
              <w:spacing w:after="0"/>
            </w:pPr>
            <w:r>
              <w:rPr>
                <w:b/>
                <w:sz w:val="19"/>
              </w:rPr>
              <w:t>Open Innovation &amp; External Input</w:t>
            </w:r>
          </w:p>
        </w:tc>
        <w:tc>
          <w:tcPr>
            <w:tcW w:type="dxa" w:w="2494"/>
          </w:tcPr>
          <w:p>
            <w:pPr>
              <w:spacing w:after="0"/>
            </w:pPr>
            <w:r>
              <w:rPr>
                <w:sz w:val="19"/>
              </w:rPr>
              <w:t>Open Innovation Workshop / Challenge</w:t>
            </w:r>
          </w:p>
        </w:tc>
        <w:tc>
          <w:tcPr>
            <w:tcW w:type="dxa" w:w="737"/>
          </w:tcPr>
          <w:p>
            <w:pPr>
              <w:spacing w:after="0"/>
              <w:jc w:val="center"/>
            </w:pPr>
            <w:r>
              <w:rPr>
                <w:sz w:val="19"/>
              </w:rPr>
              <w:t>2, 3</w:t>
            </w:r>
          </w:p>
        </w:tc>
        <w:tc>
          <w:tcPr>
            <w:tcW w:type="dxa" w:w="1928"/>
          </w:tcPr>
          <w:p>
            <w:pPr>
              <w:spacing w:after="0"/>
            </w:pPr>
            <w:r>
              <w:rPr>
                <w:sz w:val="19"/>
              </w:rPr>
              <w:t>Chabani et al. (2025)</w:t>
            </w:r>
          </w:p>
        </w:tc>
        <w:tc>
          <w:tcPr>
            <w:tcW w:type="dxa" w:w="1757"/>
          </w:tcPr>
          <w:p>
            <w:pPr>
              <w:spacing w:after="0"/>
              <w:jc w:val="center"/>
            </w:pPr>
          </w:p>
        </w:tc>
      </w:tr>
      <w:tr>
        <w:tc>
          <w:tcPr>
            <w:tcW w:type="dxa" w:w="737"/>
          </w:tcPr>
          <w:p>
            <w:pPr>
              <w:spacing w:after="0"/>
              <w:jc w:val="center"/>
            </w:pPr>
            <w:r>
              <w:rPr>
                <w:b/>
                <w:sz w:val="19"/>
              </w:rPr>
              <w:t>13</w:t>
            </w:r>
          </w:p>
        </w:tc>
        <w:tc>
          <w:tcPr>
            <w:tcW w:type="dxa" w:w="1984"/>
          </w:tcPr>
          <w:p>
            <w:pPr>
              <w:spacing w:after="0"/>
            </w:pPr>
            <w:r>
              <w:rPr>
                <w:b/>
                <w:sz w:val="19"/>
              </w:rPr>
              <w:t>Pitch Preparation</w:t>
            </w:r>
          </w:p>
        </w:tc>
        <w:tc>
          <w:tcPr>
            <w:tcW w:type="dxa" w:w="2494"/>
          </w:tcPr>
          <w:p>
            <w:pPr>
              <w:spacing w:after="0"/>
            </w:pPr>
            <w:r>
              <w:rPr>
                <w:sz w:val="19"/>
              </w:rPr>
              <w:t>60-Second No-Slide Pitch + Pitch Carousel</w:t>
            </w:r>
          </w:p>
        </w:tc>
        <w:tc>
          <w:tcPr>
            <w:tcW w:type="dxa" w:w="737"/>
          </w:tcPr>
          <w:p>
            <w:pPr>
              <w:spacing w:after="0"/>
              <w:jc w:val="center"/>
            </w:pPr>
            <w:r>
              <w:rPr>
                <w:sz w:val="19"/>
              </w:rPr>
              <w:t>2</w:t>
            </w:r>
          </w:p>
        </w:tc>
        <w:tc>
          <w:tcPr>
            <w:tcW w:type="dxa" w:w="1928"/>
          </w:tcPr>
          <w:p>
            <w:pPr>
              <w:spacing w:after="0"/>
            </w:pPr>
            <w:r>
              <w:rPr>
                <w:sz w:val="19"/>
              </w:rPr>
              <w:t>Byers et al (2019). Ch. 19</w:t>
            </w:r>
          </w:p>
        </w:tc>
        <w:tc>
          <w:tcPr>
            <w:tcW w:type="dxa" w:w="1757"/>
          </w:tcPr>
          <w:p>
            <w:pPr>
              <w:spacing w:after="0"/>
              <w:jc w:val="center"/>
            </w:pPr>
          </w:p>
        </w:tc>
      </w:tr>
      <w:tr>
        <w:tc>
          <w:tcPr>
            <w:tcW w:type="dxa" w:w="737"/>
          </w:tcPr>
          <w:p>
            <w:pPr>
              <w:spacing w:after="0"/>
              <w:jc w:val="center"/>
            </w:pPr>
            <w:r>
              <w:rPr>
                <w:b/>
                <w:sz w:val="19"/>
              </w:rPr>
              <w:t>14</w:t>
            </w:r>
          </w:p>
        </w:tc>
        <w:tc>
          <w:tcPr>
            <w:tcW w:type="dxa" w:w="1984"/>
          </w:tcPr>
          <w:p>
            <w:pPr>
              <w:spacing w:after="0"/>
            </w:pPr>
            <w:r>
              <w:rPr>
                <w:b/>
                <w:sz w:val="19"/>
              </w:rPr>
              <w:t>Pitch Event I</w:t>
            </w:r>
          </w:p>
        </w:tc>
        <w:tc>
          <w:tcPr>
            <w:tcW w:type="dxa" w:w="2494"/>
          </w:tcPr>
          <w:p>
            <w:pPr>
              <w:spacing w:after="0"/>
            </w:pPr>
            <w:r>
              <w:rPr>
                <w:sz w:val="19"/>
              </w:rPr>
              <w:t>Pitch Challenge to an academic / external panel</w:t>
            </w:r>
          </w:p>
        </w:tc>
        <w:tc>
          <w:tcPr>
            <w:tcW w:type="dxa" w:w="737"/>
          </w:tcPr>
          <w:p>
            <w:pPr>
              <w:spacing w:after="0"/>
              <w:jc w:val="center"/>
            </w:pPr>
            <w:r>
              <w:rPr>
                <w:sz w:val="19"/>
              </w:rPr>
              <w:t>2</w:t>
            </w:r>
          </w:p>
        </w:tc>
        <w:tc>
          <w:tcPr>
            <w:tcW w:type="dxa" w:w="1928"/>
          </w:tcPr>
          <w:p>
            <w:pPr>
              <w:spacing w:after="0"/>
            </w:pPr>
            <w:r>
              <w:rPr>
                <w:sz w:val="19"/>
              </w:rPr>
              <w:t>Byers et al (2019). Ch. 19</w:t>
            </w:r>
          </w:p>
        </w:tc>
        <w:tc>
          <w:tcPr>
            <w:tcW w:type="dxa" w:w="1757"/>
          </w:tcPr>
          <w:p>
            <w:pPr>
              <w:spacing w:after="0"/>
              <w:jc w:val="center"/>
            </w:pPr>
          </w:p>
        </w:tc>
      </w:tr>
      <w:tr>
        <w:tc>
          <w:tcPr>
            <w:tcW w:type="dxa" w:w="737"/>
            <w:shd w:val="clear" w:color="auto" w:fill="FDF0F0"/>
          </w:tcPr>
          <w:p>
            <w:pPr>
              <w:spacing w:after="0"/>
              <w:jc w:val="center"/>
            </w:pPr>
            <w:r>
              <w:rPr>
                <w:b/>
                <w:sz w:val="19"/>
              </w:rPr>
              <w:t>15</w:t>
            </w:r>
          </w:p>
        </w:tc>
        <w:tc>
          <w:tcPr>
            <w:tcW w:type="dxa" w:w="1984"/>
            <w:shd w:val="clear" w:color="auto" w:fill="FDF0F0"/>
          </w:tcPr>
          <w:p>
            <w:pPr>
              <w:spacing w:after="0"/>
            </w:pPr>
            <w:r>
              <w:rPr>
                <w:b/>
                <w:sz w:val="19"/>
              </w:rPr>
              <w:t>Pitch Event II</w:t>
            </w:r>
          </w:p>
        </w:tc>
        <w:tc>
          <w:tcPr>
            <w:tcW w:type="dxa" w:w="2494"/>
            <w:shd w:val="clear" w:color="auto" w:fill="FDF0F0"/>
          </w:tcPr>
          <w:p>
            <w:pPr>
              <w:spacing w:after="0"/>
            </w:pPr>
            <w:r>
              <w:rPr>
                <w:sz w:val="19"/>
              </w:rPr>
              <w:t>Remaining pitches · peer investor scorecard · A4</w:t>
            </w:r>
          </w:p>
        </w:tc>
        <w:tc>
          <w:tcPr>
            <w:tcW w:type="dxa" w:w="737"/>
            <w:shd w:val="clear" w:color="auto" w:fill="FDF0F0"/>
          </w:tcPr>
          <w:p>
            <w:pPr>
              <w:spacing w:after="0"/>
              <w:jc w:val="center"/>
            </w:pPr>
            <w:r>
              <w:rPr>
                <w:sz w:val="19"/>
              </w:rPr>
              <w:t>2, 4</w:t>
            </w:r>
          </w:p>
        </w:tc>
        <w:tc>
          <w:tcPr>
            <w:tcW w:type="dxa" w:w="1928"/>
            <w:shd w:val="clear" w:color="auto" w:fill="FDF0F0"/>
          </w:tcPr>
          <w:p>
            <w:pPr>
              <w:spacing w:after="0"/>
            </w:pPr>
            <w:r>
              <w:rPr>
                <w:sz w:val="19"/>
              </w:rPr>
              <w:t>Byers et al (2019). Ch. 19</w:t>
            </w:r>
          </w:p>
        </w:tc>
        <w:tc>
          <w:tcPr>
            <w:tcW w:type="dxa" w:w="1757"/>
            <w:shd w:val="clear" w:color="auto" w:fill="FDF0F0"/>
          </w:tcPr>
          <w:p>
            <w:pPr>
              <w:spacing w:after="0"/>
              <w:jc w:val="center"/>
            </w:pPr>
            <w:r>
              <w:rPr>
                <w:b/>
                <w:sz w:val="19"/>
              </w:rPr>
              <w:t>A4 Pitch + Founder Reflection</w:t>
            </w:r>
          </w:p>
        </w:tc>
      </w:tr>
      <w:tr>
        <w:tc>
          <w:tcPr>
            <w:tcW w:type="dxa" w:w="737"/>
          </w:tcPr>
          <w:p>
            <w:pPr>
              <w:spacing w:after="0"/>
              <w:jc w:val="center"/>
            </w:pPr>
            <w:r>
              <w:rPr>
                <w:b/>
                <w:sz w:val="19"/>
              </w:rPr>
              <w:t>16</w:t>
            </w:r>
          </w:p>
        </w:tc>
        <w:tc>
          <w:tcPr>
            <w:tcW w:type="dxa" w:w="1984"/>
          </w:tcPr>
          <w:p>
            <w:pPr>
              <w:spacing w:after="0"/>
            </w:pPr>
            <w:r>
              <w:rPr>
                <w:b/>
                <w:sz w:val="19"/>
              </w:rPr>
              <w:t>Learning &amp; Transition</w:t>
            </w:r>
          </w:p>
        </w:tc>
        <w:tc>
          <w:tcPr>
            <w:tcW w:type="dxa" w:w="2494"/>
          </w:tcPr>
          <w:p>
            <w:pPr>
              <w:spacing w:after="0"/>
            </w:pPr>
            <w:r>
              <w:rPr>
                <w:sz w:val="19"/>
              </w:rPr>
              <w:t>Founder Learning Session · hand-over to ENT 241</w:t>
            </w:r>
          </w:p>
        </w:tc>
        <w:tc>
          <w:tcPr>
            <w:tcW w:type="dxa" w:w="737"/>
          </w:tcPr>
          <w:p>
            <w:pPr>
              <w:spacing w:after="0"/>
              <w:jc w:val="center"/>
            </w:pPr>
            <w:r>
              <w:rPr>
                <w:sz w:val="19"/>
              </w:rPr>
              <w:t>4</w:t>
            </w:r>
          </w:p>
        </w:tc>
        <w:tc>
          <w:tcPr>
            <w:tcW w:type="dxa" w:w="1928"/>
          </w:tcPr>
          <w:p>
            <w:pPr>
              <w:spacing w:after="0"/>
            </w:pPr>
            <w:r>
              <w:rPr>
                <w:sz w:val="19"/>
              </w:rPr>
              <w:t>HBR</w:t>
            </w:r>
          </w:p>
        </w:tc>
        <w:tc>
          <w:tcPr>
            <w:tcW w:type="dxa" w:w="1757"/>
          </w:tcPr>
          <w:p>
            <w:pPr>
              <w:spacing w:after="0"/>
              <w:jc w:val="center"/>
            </w:pPr>
          </w:p>
        </w:tc>
      </w:tr>
    </w:tbl>
    <w:p>
      <w:pPr>
        <w:spacing w:after="40"/>
      </w:pPr>
    </w:p>
    <w:p>
      <w:pPr>
        <w:spacing w:after="80"/>
        <w:jc w:val="both"/>
      </w:pPr>
      <w:r>
        <w:rPr>
          <w:i/>
        </w:rPr>
        <w:t>*Due dates will be included at the time of the offering of the course. All assessments are completed in class.</w:t>
      </w:r>
    </w:p>
    <w:p>
      <w:pPr>
        <w:tabs>
          <w:tab w:pos="680" w:val="left"/>
        </w:tabs>
        <w:spacing w:before="200" w:after="80"/>
      </w:pPr>
      <w:r>
        <w:rPr>
          <w:b/>
          <w:sz w:val="24"/>
        </w:rPr>
        <w:t>5.</w:t>
        <w:tab/>
        <w:t>TEACHING PEDAGOGY</w:t>
      </w:r>
    </w:p>
    <w:p>
      <w:pPr>
        <w:spacing w:after="80"/>
        <w:jc w:val="both"/>
      </w:pPr>
      <w:r>
        <w:rPr/>
        <w:t>The course is structured as a weekly 2-hour lab. Each lab opens with a short concept and continues with a named, hands-on experiential activity (see Section 4.1). Teams build and test their own minimum viable product and keep a teamwork log with rotating roles.</w:t>
      </w:r>
    </w:p>
    <w:p>
      <w:pPr>
        <w:spacing w:after="80"/>
        <w:jc w:val="both"/>
      </w:pPr>
      <w:r>
        <w:rPr>
          <w:b/>
        </w:rPr>
        <w:t>Experiential learning:</w:t>
      </w:r>
      <w:r>
        <w:rPr/>
        <w:t xml:space="preserve"> Prototype Exhibition, Riskiest Assumption Challenge, MVP Build Sprint, Break My MVP, Customer Experiment Workshop, live MVP Challenge / Innovation Exhibition with real users, Feedback Detective, Build–Measure–Learn Presentation, DFV Evidence Wall, Customer Evidence Court, Startup Reality Check, Open Innovation Workshop, 60-Second No-Slide Pitch and Pitch Carousel, two Pitch Events with a peer investor scorecard, and a Founder Learning Session.</w:t>
      </w:r>
    </w:p>
    <w:p>
      <w:pPr>
        <w:spacing w:after="80"/>
        <w:jc w:val="both"/>
      </w:pPr>
      <w:r>
        <w:rPr>
          <w:b/>
        </w:rPr>
        <w:t>Guest speakers and workshops:</w:t>
      </w:r>
      <w:r>
        <w:rPr/>
        <w:t xml:space="preserve"> a product designer or startup founder talk; a rapid prototyping and MVP workshop; the MVP Challenge and live Innovation Exhibition.</w:t>
      </w:r>
    </w:p>
    <w:p>
      <w:pPr>
        <w:spacing w:after="80"/>
        <w:jc w:val="both"/>
      </w:pPr>
      <w:r>
        <w:rPr>
          <w:b/>
        </w:rPr>
        <w:t>External engagement:</w:t>
      </w:r>
      <w:r>
        <w:rPr/>
        <w:t xml:space="preserve"> teams may work on a challenge published by a CUD partner through the CUD Incubator, and are encouraged to enter hackathons, innovation challenges and competitions at CUD and UAE level.</w:t>
      </w:r>
    </w:p>
    <w:p>
      <w:pPr>
        <w:spacing w:after="80"/>
        <w:jc w:val="both"/>
      </w:pPr>
      <w:r>
        <w:rPr>
          <w:b/>
        </w:rPr>
        <w:t>Inclusive learning:</w:t>
      </w:r>
      <w:r>
        <w:rPr/>
        <w:t xml:space="preserve"> materials follow Universal Design for Learning: an Easy view with simplified concepts and pictures, read-aloud, step-by-step task cards with visual timers, and a choice of how to show learning. Individual adjustments follow CUD's student-support process.</w:t>
      </w:r>
    </w:p>
    <w:p>
      <w:pPr>
        <w:tabs>
          <w:tab w:pos="680" w:val="left"/>
        </w:tabs>
        <w:spacing w:before="200" w:after="80"/>
      </w:pPr>
      <w:r>
        <w:rPr>
          <w:b/>
          <w:sz w:val="24"/>
        </w:rPr>
        <w:t>6.</w:t>
        <w:tab/>
        <w:t>TEXTBOOK/REFERENCE BOOK/COURSE MATERIAL</w:t>
      </w:r>
    </w:p>
    <w:p>
      <w:pPr>
        <w:spacing w:after="80"/>
        <w:jc w:val="both"/>
      </w:pPr>
      <w:r>
        <w:rPr>
          <w:b/>
        </w:rPr>
        <w:t>Textbooks (TB):</w:t>
      </w:r>
    </w:p>
    <w:p>
      <w:pPr>
        <w:spacing w:after="40"/>
        <w:ind w:left="454" w:hanging="283"/>
      </w:pPr>
      <w:r>
        <w:t xml:space="preserve">a. </w:t>
      </w:r>
      <w:r>
        <w:rPr/>
        <w:t xml:space="preserve">Byers, T., Dorf, R. C., &amp; Nelson, A. J. (2019). </w:t>
      </w:r>
      <w:r>
        <w:rPr>
          <w:i/>
        </w:rPr>
        <w:t>Technology ventures: From idea to enterprise</w:t>
      </w:r>
      <w:r>
        <w:rPr/>
        <w:t xml:space="preserve"> (Fifth ed.). McGraw-Hill Education. ISBN13: 9781259875991.</w:t>
      </w:r>
    </w:p>
    <w:p>
      <w:pPr>
        <w:spacing w:after="80"/>
        <w:jc w:val="both"/>
      </w:pPr>
      <w:r>
        <w:rPr>
          <w:b/>
        </w:rPr>
        <w:t>Reference Books (RB):</w:t>
      </w:r>
    </w:p>
    <w:p>
      <w:pPr>
        <w:spacing w:after="40"/>
        <w:ind w:left="454" w:hanging="283"/>
      </w:pPr>
      <w:r>
        <w:t xml:space="preserve">a. </w:t>
      </w:r>
      <w:r>
        <w:rPr/>
        <w:t xml:space="preserve">Bland, D. J., &amp; Osterwalder, A. (2019). </w:t>
      </w:r>
      <w:r>
        <w:rPr>
          <w:i/>
        </w:rPr>
        <w:t>Testing Business Ideas</w:t>
      </w:r>
      <w:r>
        <w:rPr/>
        <w:t>. Wiley.</w:t>
      </w:r>
    </w:p>
    <w:p>
      <w:pPr>
        <w:spacing w:after="40"/>
        <w:ind w:left="454" w:hanging="283"/>
      </w:pPr>
      <w:r>
        <w:t xml:space="preserve">b. </w:t>
      </w:r>
      <w:r>
        <w:rPr/>
        <w:t xml:space="preserve">Laverty, M., &amp; Littel, C. (2020). </w:t>
      </w:r>
      <w:r>
        <w:rPr>
          <w:i/>
        </w:rPr>
        <w:t>Entrepreneurship</w:t>
      </w:r>
      <w:r>
        <w:rPr/>
        <w:t>. OpenStax. (Free, open textbook.)</w:t>
      </w:r>
    </w:p>
    <w:p>
      <w:pPr>
        <w:spacing w:after="40"/>
        <w:ind w:left="454" w:hanging="283"/>
      </w:pPr>
      <w:r>
        <w:t xml:space="preserve">c. </w:t>
      </w:r>
      <w:r>
        <w:rPr/>
        <w:t xml:space="preserve">Liedtka, J., Salzman, R., &amp; Azer, D. (2017). </w:t>
      </w:r>
      <w:r>
        <w:rPr>
          <w:i/>
        </w:rPr>
        <w:t>Design thinking for the greater good: Innovation in the social sector</w:t>
      </w:r>
      <w:r>
        <w:rPr/>
        <w:t>. Columbia University Press. ISBN-13: 978-0231179522</w:t>
      </w:r>
    </w:p>
    <w:p>
      <w:pPr>
        <w:spacing w:after="40"/>
        <w:ind w:left="454" w:hanging="283"/>
      </w:pPr>
      <w:r>
        <w:t xml:space="preserve">d. </w:t>
      </w:r>
      <w:r>
        <w:rPr/>
        <w:t xml:space="preserve">Chabani, Z., Askri, S., &amp; Kweh, Q. L. (Eds.) (2025). </w:t>
      </w:r>
      <w:r>
        <w:rPr>
          <w:i/>
        </w:rPr>
        <w:t>Sustainable Innovation in the Middle East and North Africa (MENA) Region</w:t>
      </w:r>
      <w:r>
        <w:rPr/>
        <w:t>. IGI Global.</w:t>
      </w:r>
    </w:p>
    <w:p>
      <w:pPr>
        <w:spacing w:after="80"/>
        <w:jc w:val="both"/>
      </w:pPr>
      <w:r>
        <w:rPr>
          <w:b/>
        </w:rPr>
        <w:t>Suggested Readings (SR):</w:t>
      </w:r>
    </w:p>
    <w:p>
      <w:pPr>
        <w:spacing w:after="40"/>
        <w:ind w:left="454" w:hanging="283"/>
      </w:pPr>
      <w:r>
        <w:t xml:space="preserve">a. </w:t>
      </w:r>
      <w:r>
        <w:rPr/>
        <w:t xml:space="preserve">Ries, E. (2011). </w:t>
      </w:r>
      <w:r>
        <w:rPr>
          <w:i/>
        </w:rPr>
        <w:t>The Lean Startup</w:t>
      </w:r>
      <w:r>
        <w:rPr/>
        <w:t>. Crown Business.</w:t>
      </w:r>
    </w:p>
    <w:p>
      <w:pPr>
        <w:spacing w:after="40"/>
        <w:ind w:left="454" w:hanging="283"/>
      </w:pPr>
      <w:r>
        <w:t xml:space="preserve">b. </w:t>
      </w:r>
      <w:r>
        <w:rPr/>
        <w:t xml:space="preserve">Traifeh, H., Abou Refaei, R., von Thienen, J., von Schmieden, K., Mayer, L., Osman, S., &amp; Meinel, C. (2021). Mapping Design Thinking in the Arab World. In </w:t>
      </w:r>
      <w:r>
        <w:rPr>
          <w:i/>
        </w:rPr>
        <w:t>Design Thinking Research</w:t>
      </w:r>
      <w:r>
        <w:rPr/>
        <w:t>. Springer, Cham. p. 41-60.</w:t>
      </w:r>
    </w:p>
    <w:p>
      <w:pPr>
        <w:spacing w:after="80"/>
        <w:jc w:val="both"/>
      </w:pPr>
      <w:r>
        <w:rPr/>
        <w:t>Students are also required to read a variety of Harvard Business Review (HBR) materials that are available online through the university library system.</w:t>
      </w:r>
    </w:p>
    <w:p>
      <w:pPr>
        <w:tabs>
          <w:tab w:pos="680" w:val="left"/>
        </w:tabs>
        <w:spacing w:before="200" w:after="80"/>
      </w:pPr>
      <w:r>
        <w:rPr>
          <w:b/>
          <w:sz w:val="24"/>
        </w:rPr>
        <w:t>7.</w:t>
        <w:tab/>
        <w:t>LEARNING RESOURCES</w:t>
      </w:r>
    </w:p>
    <w:p>
      <w:pPr>
        <w:spacing w:after="80"/>
        <w:jc w:val="both"/>
      </w:pPr>
      <w:r>
        <w:rPr/>
        <w:t>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pPr>
        <w:tabs>
          <w:tab w:pos="680" w:val="left"/>
        </w:tabs>
        <w:spacing w:before="200" w:after="80"/>
      </w:pPr>
      <w:r>
        <w:rPr>
          <w:b/>
          <w:sz w:val="24"/>
        </w:rPr>
        <w:t>8.</w:t>
        <w:tab/>
        <w:t>COURSE ASSESSMENT AND EVALUATION</w:t>
      </w:r>
    </w:p>
    <w:p>
      <w:pPr>
        <w:spacing w:after="80"/>
        <w:jc w:val="both"/>
      </w:pPr>
      <w:r>
        <w:rPr/>
        <w:t>The information concerning the appropriate distribution of grade weight amongst various assessment items and their corresponding linkage with the stated CLOs is provided in the following table.</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850"/>
            <w:gridSpan w:val="2"/>
            <w:vMerge w:val="restart"/>
            <w:shd w:val="clear" w:color="auto" w:fill="C00000"/>
          </w:tcPr>
          <w:p>
            <w:pPr>
              <w:spacing w:after="0"/>
              <w:jc w:val="center"/>
            </w:pPr>
            <w:r>
              <w:rPr>
                <w:b/>
                <w:color w:val="FFFFFF"/>
                <w:sz w:val="19"/>
              </w:rPr>
              <w:t>Assessment Items</w:t>
            </w:r>
          </w:p>
        </w:tc>
        <w:tc>
          <w:tcPr>
            <w:tcW w:type="dxa" w:w="1425"/>
            <w:vMerge w:val="restart"/>
            <w:shd w:val="clear" w:color="auto" w:fill="C00000"/>
          </w:tcPr>
          <w:p>
            <w:pPr>
              <w:spacing w:after="0"/>
              <w:jc w:val="center"/>
            </w:pPr>
            <w:r>
              <w:rPr>
                <w:b/>
                <w:color w:val="FFFFFF"/>
                <w:sz w:val="19"/>
              </w:rPr>
              <w:t>Grade Weight (%)</w:t>
            </w:r>
          </w:p>
        </w:tc>
        <w:tc>
          <w:tcPr>
            <w:tcW w:type="dxa" w:w="5700"/>
            <w:gridSpan w:val="4"/>
            <w:shd w:val="clear" w:color="auto" w:fill="C00000"/>
          </w:tcPr>
          <w:p>
            <w:pPr>
              <w:spacing w:after="0"/>
              <w:jc w:val="center"/>
            </w:pPr>
            <w:r>
              <w:rPr>
                <w:b/>
                <w:color w:val="FFFFFF"/>
                <w:sz w:val="19"/>
              </w:rPr>
              <w:t>Course Learning Outcomes</w:t>
            </w:r>
          </w:p>
        </w:tc>
      </w:tr>
      <w:tr>
        <w:tc>
          <w:tcPr>
            <w:tcW w:type="dxa" w:w="2850"/>
            <w:gridSpan w:val="2"/>
            <w:vMerge/>
          </w:tcPr>
          <w:p/>
        </w:tc>
        <w:tc>
          <w:tcPr>
            <w:tcW w:type="dxa" w:w="1425"/>
            <w:vMerge/>
          </w:tcPr>
          <w:p/>
        </w:tc>
        <w:tc>
          <w:tcPr>
            <w:tcW w:type="dxa" w:w="1425"/>
            <w:shd w:val="clear" w:color="auto" w:fill="C00000"/>
          </w:tcPr>
          <w:p>
            <w:pPr>
              <w:spacing w:after="0"/>
              <w:jc w:val="center"/>
            </w:pPr>
            <w:r>
              <w:rPr>
                <w:b/>
                <w:color w:val="FFFFFF"/>
                <w:sz w:val="19"/>
              </w:rPr>
              <w:t>1</w:t>
            </w:r>
          </w:p>
        </w:tc>
        <w:tc>
          <w:tcPr>
            <w:tcW w:type="dxa" w:w="1425"/>
            <w:shd w:val="clear" w:color="auto" w:fill="C00000"/>
          </w:tcPr>
          <w:p>
            <w:pPr>
              <w:spacing w:after="0"/>
              <w:jc w:val="center"/>
            </w:pPr>
            <w:r>
              <w:rPr>
                <w:b/>
                <w:color w:val="FFFFFF"/>
                <w:sz w:val="19"/>
              </w:rPr>
              <w:t>2</w:t>
            </w:r>
          </w:p>
        </w:tc>
        <w:tc>
          <w:tcPr>
            <w:tcW w:type="dxa" w:w="1425"/>
            <w:shd w:val="clear" w:color="auto" w:fill="C00000"/>
          </w:tcPr>
          <w:p>
            <w:pPr>
              <w:spacing w:after="0"/>
              <w:jc w:val="center"/>
            </w:pPr>
            <w:r>
              <w:rPr>
                <w:b/>
                <w:color w:val="FFFFFF"/>
                <w:sz w:val="19"/>
              </w:rPr>
              <w:t>3</w:t>
            </w:r>
          </w:p>
        </w:tc>
        <w:tc>
          <w:tcPr>
            <w:tcW w:type="dxa" w:w="1425"/>
            <w:shd w:val="clear" w:color="auto" w:fill="C00000"/>
          </w:tcPr>
          <w:p>
            <w:pPr>
              <w:spacing w:after="0"/>
              <w:jc w:val="center"/>
            </w:pPr>
            <w:r>
              <w:rPr>
                <w:b/>
                <w:color w:val="FFFFFF"/>
                <w:sz w:val="19"/>
              </w:rPr>
              <w:t>4</w:t>
            </w:r>
          </w:p>
        </w:tc>
      </w:tr>
      <w:tr>
        <w:tc>
          <w:tcPr>
            <w:tcW w:type="dxa" w:w="1425"/>
          </w:tcPr>
          <w:p>
            <w:pPr>
              <w:spacing w:after="0"/>
            </w:pPr>
            <w:r>
              <w:rPr>
                <w:sz w:val="19"/>
              </w:rPr>
              <w:t>A1</w:t>
            </w:r>
          </w:p>
        </w:tc>
        <w:tc>
          <w:tcPr>
            <w:tcW w:type="dxa" w:w="1425"/>
          </w:tcPr>
          <w:p>
            <w:pPr>
              <w:spacing w:after="0"/>
            </w:pPr>
            <w:r>
              <w:rPr>
                <w:sz w:val="19"/>
              </w:rPr>
              <w:t>MVP plan + build (Team, Week 4)</w:t>
            </w:r>
          </w:p>
        </w:tc>
        <w:tc>
          <w:tcPr>
            <w:tcW w:type="dxa" w:w="1425"/>
          </w:tcPr>
          <w:p>
            <w:pPr>
              <w:spacing w:after="0"/>
              <w:jc w:val="center"/>
            </w:pPr>
            <w:r>
              <w:rPr>
                <w:sz w:val="19"/>
              </w:rPr>
              <w:t>25</w:t>
            </w:r>
          </w:p>
        </w:tc>
        <w:tc>
          <w:tcPr>
            <w:tcW w:type="dxa" w:w="1425"/>
          </w:tcPr>
          <w:p>
            <w:pPr>
              <w:spacing w:after="0"/>
              <w:jc w:val="center"/>
            </w:pPr>
            <w:r>
              <w:rPr>
                <w:sz w:val="19"/>
              </w:rPr>
              <w:t>✓</w:t>
            </w:r>
          </w:p>
        </w:tc>
        <w:tc>
          <w:tcPr>
            <w:tcW w:type="dxa" w:w="1425"/>
          </w:tcPr>
          <w:p>
            <w:pPr>
              <w:spacing w:after="0"/>
              <w:jc w:val="center"/>
            </w:pPr>
          </w:p>
        </w:tc>
        <w:tc>
          <w:tcPr>
            <w:tcW w:type="dxa" w:w="1425"/>
          </w:tcPr>
          <w:p>
            <w:pPr>
              <w:spacing w:after="0"/>
              <w:jc w:val="center"/>
            </w:pPr>
          </w:p>
        </w:tc>
        <w:tc>
          <w:tcPr>
            <w:tcW w:type="dxa" w:w="1425"/>
          </w:tcPr>
          <w:p>
            <w:pPr>
              <w:spacing w:after="0"/>
              <w:jc w:val="center"/>
            </w:pPr>
          </w:p>
        </w:tc>
      </w:tr>
      <w:tr>
        <w:tc>
          <w:tcPr>
            <w:tcW w:type="dxa" w:w="1425"/>
          </w:tcPr>
          <w:p>
            <w:pPr>
              <w:spacing w:after="0"/>
            </w:pPr>
            <w:r>
              <w:rPr>
                <w:sz w:val="19"/>
              </w:rPr>
              <w:t>A2</w:t>
            </w:r>
          </w:p>
        </w:tc>
        <w:tc>
          <w:tcPr>
            <w:tcW w:type="dxa" w:w="1425"/>
          </w:tcPr>
          <w:p>
            <w:pPr>
              <w:spacing w:after="0"/>
            </w:pPr>
            <w:r>
              <w:rPr>
                <w:sz w:val="19"/>
              </w:rPr>
              <w:t>Build–Measure–Learn presentation (Team, Week 8)</w:t>
            </w:r>
          </w:p>
        </w:tc>
        <w:tc>
          <w:tcPr>
            <w:tcW w:type="dxa" w:w="1425"/>
          </w:tcPr>
          <w:p>
            <w:pPr>
              <w:spacing w:after="0"/>
              <w:jc w:val="center"/>
            </w:pPr>
            <w:r>
              <w:rPr>
                <w:sz w:val="19"/>
              </w:rPr>
              <w:t>25</w:t>
            </w:r>
          </w:p>
        </w:tc>
        <w:tc>
          <w:tcPr>
            <w:tcW w:type="dxa" w:w="1425"/>
          </w:tcPr>
          <w:p>
            <w:pPr>
              <w:spacing w:after="0"/>
              <w:jc w:val="center"/>
            </w:pPr>
            <w:r>
              <w:rPr>
                <w:sz w:val="19"/>
              </w:rPr>
              <w:t>✓</w:t>
            </w:r>
          </w:p>
        </w:tc>
        <w:tc>
          <w:tcPr>
            <w:tcW w:type="dxa" w:w="1425"/>
          </w:tcPr>
          <w:p>
            <w:pPr>
              <w:spacing w:after="0"/>
              <w:jc w:val="center"/>
            </w:pPr>
          </w:p>
        </w:tc>
        <w:tc>
          <w:tcPr>
            <w:tcW w:type="dxa" w:w="1425"/>
          </w:tcPr>
          <w:p>
            <w:pPr>
              <w:spacing w:after="0"/>
              <w:jc w:val="center"/>
            </w:pPr>
            <w:r>
              <w:rPr>
                <w:sz w:val="19"/>
              </w:rPr>
              <w:t>✓</w:t>
            </w:r>
          </w:p>
        </w:tc>
        <w:tc>
          <w:tcPr>
            <w:tcW w:type="dxa" w:w="1425"/>
          </w:tcPr>
          <w:p>
            <w:pPr>
              <w:spacing w:after="0"/>
              <w:jc w:val="center"/>
            </w:pPr>
          </w:p>
        </w:tc>
      </w:tr>
      <w:tr>
        <w:tc>
          <w:tcPr>
            <w:tcW w:type="dxa" w:w="1425"/>
          </w:tcPr>
          <w:p>
            <w:pPr>
              <w:spacing w:after="0"/>
            </w:pPr>
            <w:r>
              <w:rPr>
                <w:sz w:val="19"/>
              </w:rPr>
              <w:t>A3</w:t>
            </w:r>
          </w:p>
        </w:tc>
        <w:tc>
          <w:tcPr>
            <w:tcW w:type="dxa" w:w="1425"/>
          </w:tcPr>
          <w:p>
            <w:pPr>
              <w:spacing w:after="0"/>
            </w:pPr>
            <w:r>
              <w:rPr>
                <w:sz w:val="19"/>
              </w:rPr>
              <w:t>DFV evidence report (Team, Week 11)</w:t>
            </w:r>
          </w:p>
        </w:tc>
        <w:tc>
          <w:tcPr>
            <w:tcW w:type="dxa" w:w="1425"/>
          </w:tcPr>
          <w:p>
            <w:pPr>
              <w:spacing w:after="0"/>
              <w:jc w:val="center"/>
            </w:pPr>
            <w:r>
              <w:rPr>
                <w:sz w:val="19"/>
              </w:rPr>
              <w:t>25</w:t>
            </w:r>
          </w:p>
        </w:tc>
        <w:tc>
          <w:tcPr>
            <w:tcW w:type="dxa" w:w="1425"/>
          </w:tcPr>
          <w:p>
            <w:pPr>
              <w:spacing w:after="0"/>
              <w:jc w:val="center"/>
            </w:pPr>
          </w:p>
        </w:tc>
        <w:tc>
          <w:tcPr>
            <w:tcW w:type="dxa" w:w="1425"/>
          </w:tcPr>
          <w:p>
            <w:pPr>
              <w:spacing w:after="0"/>
              <w:jc w:val="center"/>
            </w:pPr>
          </w:p>
        </w:tc>
        <w:tc>
          <w:tcPr>
            <w:tcW w:type="dxa" w:w="1425"/>
          </w:tcPr>
          <w:p>
            <w:pPr>
              <w:spacing w:after="0"/>
              <w:jc w:val="center"/>
            </w:pPr>
            <w:r>
              <w:rPr>
                <w:sz w:val="19"/>
              </w:rPr>
              <w:t>✓</w:t>
            </w:r>
          </w:p>
        </w:tc>
        <w:tc>
          <w:tcPr>
            <w:tcW w:type="dxa" w:w="1425"/>
          </w:tcPr>
          <w:p>
            <w:pPr>
              <w:spacing w:after="0"/>
              <w:jc w:val="center"/>
            </w:pPr>
          </w:p>
        </w:tc>
      </w:tr>
      <w:tr>
        <w:tc>
          <w:tcPr>
            <w:tcW w:type="dxa" w:w="1425"/>
          </w:tcPr>
          <w:p>
            <w:pPr>
              <w:spacing w:after="0"/>
            </w:pPr>
            <w:r>
              <w:rPr>
                <w:sz w:val="19"/>
              </w:rPr>
              <w:t>A4</w:t>
            </w:r>
          </w:p>
        </w:tc>
        <w:tc>
          <w:tcPr>
            <w:tcW w:type="dxa" w:w="1425"/>
          </w:tcPr>
          <w:p>
            <w:pPr>
              <w:spacing w:after="0"/>
            </w:pPr>
            <w:r>
              <w:rPr>
                <w:sz w:val="19"/>
              </w:rPr>
              <w:t>Pitch + founder reflection (Team + individual, Week 15)</w:t>
            </w:r>
          </w:p>
        </w:tc>
        <w:tc>
          <w:tcPr>
            <w:tcW w:type="dxa" w:w="1425"/>
          </w:tcPr>
          <w:p>
            <w:pPr>
              <w:spacing w:after="0"/>
              <w:jc w:val="center"/>
            </w:pPr>
            <w:r>
              <w:rPr>
                <w:sz w:val="19"/>
              </w:rPr>
              <w:t>25</w:t>
            </w:r>
          </w:p>
        </w:tc>
        <w:tc>
          <w:tcPr>
            <w:tcW w:type="dxa" w:w="1425"/>
          </w:tcPr>
          <w:p>
            <w:pPr>
              <w:spacing w:after="0"/>
              <w:jc w:val="center"/>
            </w:pPr>
          </w:p>
        </w:tc>
        <w:tc>
          <w:tcPr>
            <w:tcW w:type="dxa" w:w="1425"/>
          </w:tcPr>
          <w:p>
            <w:pPr>
              <w:spacing w:after="0"/>
              <w:jc w:val="center"/>
            </w:pPr>
            <w:r>
              <w:rPr>
                <w:sz w:val="19"/>
              </w:rPr>
              <w:t>✓</w:t>
            </w:r>
          </w:p>
        </w:tc>
        <w:tc>
          <w:tcPr>
            <w:tcW w:type="dxa" w:w="1425"/>
          </w:tcPr>
          <w:p>
            <w:pPr>
              <w:spacing w:after="0"/>
              <w:jc w:val="center"/>
            </w:pPr>
          </w:p>
        </w:tc>
        <w:tc>
          <w:tcPr>
            <w:tcW w:type="dxa" w:w="1425"/>
          </w:tcPr>
          <w:p>
            <w:pPr>
              <w:spacing w:after="0"/>
              <w:jc w:val="center"/>
            </w:pPr>
            <w:r>
              <w:rPr>
                <w:sz w:val="19"/>
              </w:rPr>
              <w:t>✓</w:t>
            </w:r>
          </w:p>
        </w:tc>
      </w:tr>
      <w:tr>
        <w:tc>
          <w:tcPr>
            <w:tcW w:type="dxa" w:w="2850"/>
            <w:gridSpan w:val="2"/>
          </w:tcPr>
          <w:p>
            <w:pPr>
              <w:spacing w:after="0"/>
            </w:pPr>
            <w:r>
              <w:rPr>
                <w:b/>
                <w:sz w:val="19"/>
              </w:rPr>
              <w:t>Total</w:t>
            </w:r>
          </w:p>
        </w:tc>
        <w:tc>
          <w:tcPr>
            <w:tcW w:type="dxa" w:w="1425"/>
          </w:tcPr>
          <w:p>
            <w:pPr>
              <w:spacing w:after="0"/>
              <w:jc w:val="center"/>
            </w:pPr>
            <w:r>
              <w:rPr>
                <w:b/>
                <w:sz w:val="19"/>
              </w:rPr>
              <w:t>100</w:t>
            </w:r>
          </w:p>
        </w:tc>
        <w:tc>
          <w:tcPr>
            <w:tcW w:type="dxa" w:w="5700"/>
            <w:gridSpan w:val="4"/>
          </w:tcPr>
          <w:p>
            <w:pPr>
              <w:spacing w:after="0"/>
            </w:pPr>
          </w:p>
        </w:tc>
      </w:tr>
    </w:tbl>
    <w:p>
      <w:pPr>
        <w:spacing w:after="40"/>
      </w:pPr>
    </w:p>
    <w:p>
      <w:pPr>
        <w:tabs>
          <w:tab w:pos="680" w:val="left"/>
        </w:tabs>
        <w:spacing w:before="200" w:after="80"/>
      </w:pPr>
      <w:r>
        <w:rPr>
          <w:b/>
          <w:sz w:val="24"/>
        </w:rPr>
        <w:t>9.</w:t>
        <w:tab/>
        <w:t>ASSESSMENT METHODOLOGY</w:t>
      </w:r>
    </w:p>
    <w:p>
      <w:pPr>
        <w:spacing w:after="80"/>
        <w:jc w:val="both"/>
      </w:pPr>
      <w:r>
        <w:rPr/>
        <w:t>All four assignments follow a block of study and are created in class, so every student practises with the instructor present.</w:t>
      </w:r>
    </w:p>
    <w:p>
      <w:pPr>
        <w:spacing w:after="80"/>
        <w:jc w:val="both"/>
      </w:pPr>
      <w:r>
        <w:rPr>
          <w:b/>
        </w:rPr>
        <w:t>A1 – MVP plan + build (Team, Week 4, 25%):</w:t>
      </w:r>
      <w:r>
        <w:rPr/>
        <w:t xml:space="preserve"> Core value, riskiest assumption and a first MVP, stress-tested in Break My MVP.</w:t>
      </w:r>
    </w:p>
    <w:p>
      <w:pPr>
        <w:spacing w:after="80"/>
        <w:jc w:val="both"/>
      </w:pPr>
      <w:r>
        <w:rPr>
          <w:b/>
        </w:rPr>
        <w:t>A2 – Build–Measure–Learn presentation (Team, Week 8, 25%):</w:t>
      </w:r>
      <w:r>
        <w:rPr/>
        <w:t xml:space="preserve"> We believed → we tested → users showed → we learned → therefore. Individual evidence defense.</w:t>
      </w:r>
    </w:p>
    <w:p>
      <w:pPr>
        <w:spacing w:after="80"/>
        <w:jc w:val="both"/>
      </w:pPr>
      <w:r>
        <w:rPr>
          <w:b/>
        </w:rPr>
        <w:t>A3 – DFV evidence report (Team, Week 11, 25%):</w:t>
      </w:r>
      <w:r>
        <w:rPr/>
        <w:t xml:space="preserve"> Desirability, feasibility and viability evidence, the biggest gap, and what the team will do about it.</w:t>
      </w:r>
    </w:p>
    <w:p>
      <w:pPr>
        <w:spacing w:after="80"/>
        <w:jc w:val="both"/>
      </w:pPr>
      <w:r>
        <w:rPr>
          <w:b/>
        </w:rPr>
        <w:t>A4 – Pitch + founder reflection (Team + individual, Week 15, 25%):</w:t>
      </w:r>
      <w:r>
        <w:rPr/>
        <w:t xml:space="preserve"> Pitch to the panel with Q&amp;A, peer investor scorecard, and a one-page founder reflection in Week 16.</w:t>
      </w:r>
    </w:p>
    <w:p>
      <w:pPr>
        <w:tabs>
          <w:tab w:pos="680" w:val="left"/>
        </w:tabs>
        <w:spacing w:before="200" w:after="80"/>
      </w:pPr>
      <w:r>
        <w:rPr>
          <w:b/>
          <w:sz w:val="24"/>
        </w:rPr>
        <w:t>10.</w:t>
        <w:tab/>
        <w:t>COURSE REQUIREMENTS AND POLICIES</w:t>
      </w:r>
    </w:p>
    <w:p>
      <w:pPr>
        <w:spacing w:after="80"/>
        <w:jc w:val="both"/>
      </w:pPr>
      <w:r>
        <w:rPr/>
        <w:t>The students are required to fully understand and observe the following policies of the university.</w:t>
      </w:r>
    </w:p>
    <w:p>
      <w:pPr>
        <w:tabs>
          <w:tab w:pos="680" w:val="left"/>
        </w:tabs>
        <w:spacing w:before="200" w:after="80"/>
      </w:pPr>
      <w:r>
        <w:rPr>
          <w:b/>
          <w:sz w:val="22"/>
        </w:rPr>
        <w:t>10.1</w:t>
        <w:tab/>
        <w:t>Attendance Policy</w:t>
      </w:r>
    </w:p>
    <w:p>
      <w:pPr>
        <w:spacing w:after="80"/>
        <w:jc w:val="both"/>
      </w:pPr>
      <w:r>
        <w:rPr/>
        <w:t>Attending classes is compulsory in all courses. CUD Students will not be allowed to take the final examination if they are absent for 25% or more of the classes in a course. (Students should refer to their respective Department or School/Faculty for additional specific program-related information.)</w:t>
      </w:r>
    </w:p>
    <w:p>
      <w:pPr>
        <w:spacing w:after="40"/>
        <w:ind w:left="454" w:hanging="283"/>
      </w:pPr>
      <w:r>
        <w:t xml:space="preserve">a. </w:t>
      </w:r>
      <w:r>
        <w:rPr/>
        <w:t>When a student has been absent for 10% of the course an absence reminder would be sent by email.</w:t>
      </w:r>
    </w:p>
    <w:p>
      <w:pPr>
        <w:spacing w:after="40"/>
        <w:ind w:left="454" w:hanging="283"/>
      </w:pPr>
      <w:r>
        <w:t xml:space="preserve">b. </w:t>
      </w:r>
      <w:r>
        <w:rPr/>
        <w:t>When a student has been absent for 20% of the course a second absence reminder would be sent by e-mail</w:t>
      </w:r>
    </w:p>
    <w:p>
      <w:pPr>
        <w:spacing w:after="40"/>
        <w:ind w:left="454" w:hanging="283"/>
      </w:pPr>
      <w:r>
        <w:t xml:space="preserve">c. </w:t>
      </w:r>
      <w:r>
        <w:rPr/>
        <w:t>When a student has been absent for 25% of the course a notice of Failure for Non-Attendance will be sent by email and grade “FA” with Grade Point of 0.0 will be awarded.</w:t>
      </w:r>
    </w:p>
    <w:p>
      <w:pPr>
        <w:spacing w:after="80"/>
        <w:jc w:val="both"/>
      </w:pPr>
      <w:r>
        <w:rPr/>
        <w:t>A student with a verifiable and legitimate reason for missing a class (e.g., hospitalization) may request his instructor not to count such an absence towards the 25%. Such excusable absences must be noted in the Course File Attendance Report.</w:t>
      </w:r>
    </w:p>
    <w:p>
      <w:pPr>
        <w:spacing w:after="80"/>
        <w:jc w:val="both"/>
      </w:pPr>
      <w:r>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pPr>
        <w:tabs>
          <w:tab w:pos="680" w:val="left"/>
        </w:tabs>
        <w:spacing w:before="200" w:after="80"/>
      </w:pPr>
      <w:r>
        <w:rPr>
          <w:b/>
          <w:sz w:val="22"/>
        </w:rPr>
        <w:t>10.2</w:t>
        <w:tab/>
        <w:t>Incomplete Work Policy</w:t>
      </w:r>
    </w:p>
    <w:p>
      <w:pPr>
        <w:spacing w:after="80"/>
        <w:jc w:val="both"/>
      </w:pPr>
      <w:r>
        <w:rPr/>
        <w:t>Students whose course work is at a passing level but who for verifiable reasons beyond their control are unable to finish course work by the end of a term (or the specified end of a course) may be granted a grade of "Incomplete".</w:t>
      </w:r>
    </w:p>
    <w:p>
      <w:pPr>
        <w:spacing w:after="80"/>
        <w:jc w:val="both"/>
      </w:pPr>
      <w:r>
        <w:rPr/>
        <w:t>The “I” is not intended to be a permanent grade. It is only a temporary acknowledgment of a legitimate reason for granting a one-time, limited extension to the time normally allowed to complete all course requirements.</w:t>
      </w:r>
    </w:p>
    <w:p>
      <w:pPr>
        <w:spacing w:after="80"/>
        <w:jc w:val="both"/>
      </w:pPr>
      <w:r>
        <w:rPr/>
        <w:t>Students have up to 12 calendar months after the scheduled end of the course to complete required additional work as determined by the teacher who assigned the “I”, and to thereby qualify for a passing grade.</w:t>
      </w:r>
    </w:p>
    <w:p>
      <w:pPr>
        <w:spacing w:after="80"/>
        <w:jc w:val="both"/>
      </w:pPr>
      <w:r>
        <w:rPr/>
        <w:t>After 12 calendar months, outstanding “I” grades are converted to “F”.</w:t>
      </w:r>
    </w:p>
    <w:p>
      <w:pPr>
        <w:spacing w:after="80"/>
        <w:jc w:val="both"/>
      </w:pPr>
      <w:r>
        <w:rPr/>
        <w:t>Thereafter, the student must repeat the course in order to achieve a passing grade.</w:t>
      </w:r>
    </w:p>
    <w:p>
      <w:pPr>
        <w:spacing w:after="80"/>
        <w:jc w:val="both"/>
      </w:pPr>
      <w:r>
        <w:rPr/>
        <w:t>The number of “Incomplete” courses allowed per semester is established by the School. Please contact the School for further information.</w:t>
      </w:r>
    </w:p>
    <w:p>
      <w:pPr>
        <w:spacing w:after="80"/>
        <w:jc w:val="both"/>
      </w:pPr>
      <w:r>
        <w:rPr/>
        <w:t>NOTE: An Incomplete grade for a pre-requisite course must be completed before the student is allowed to proceed to the higher-level course unless otherwise approved by the appropriate Academic Administrator (Dean or Designate).</w:t>
      </w:r>
    </w:p>
    <w:p>
      <w:pPr>
        <w:tabs>
          <w:tab w:pos="680" w:val="left"/>
        </w:tabs>
        <w:spacing w:before="200" w:after="80"/>
      </w:pPr>
      <w:r>
        <w:rPr>
          <w:b/>
          <w:sz w:val="22"/>
        </w:rPr>
        <w:t>10.3</w:t>
        <w:tab/>
        <w:t>Academic Integrity</w:t>
      </w:r>
    </w:p>
    <w:p>
      <w:pPr>
        <w:spacing w:after="80"/>
        <w:jc w:val="both"/>
      </w:pPr>
      <w:r>
        <w:rPr/>
        <w:t>Cheating 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pPr>
        <w:spacing w:after="80"/>
        <w:jc w:val="both"/>
      </w:pPr>
      <w:r>
        <w:rPr/>
        <w:t>Plagiarism 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 The maximum permissible similarity index limit is 20% for the assignments required to be submitted through Turnitin.</w:t>
      </w:r>
    </w:p>
    <w:p>
      <w:pPr>
        <w:spacing w:after="80"/>
        <w:jc w:val="both"/>
      </w:pPr>
      <w:r>
        <w:rPr/>
        <w:t>Any violation of the academic integrity policy is a serious offence which will be sanctioned as per the Academic Integrity Policy published in the Student Handbook. Please refer to the Catalogue for further information on student Academic Integrity.</w:t>
      </w:r>
    </w:p>
    <w:p>
      <w:pPr>
        <w:tabs>
          <w:tab w:pos="680" w:val="left"/>
        </w:tabs>
        <w:spacing w:before="200" w:after="80"/>
      </w:pPr>
      <w:r>
        <w:rPr>
          <w:b/>
          <w:sz w:val="24"/>
        </w:rPr>
        <w:t>11.</w:t>
        <w:tab/>
        <w:t>GRADING SYSTEM</w:t>
      </w:r>
    </w:p>
    <w:p>
      <w:pPr>
        <w:spacing w:after="80"/>
        <w:jc w:val="both"/>
      </w:pPr>
      <w:r>
        <w:rPr/>
        <w:t>The University uses the relative grading system which is based on a four-point scale. An overall grade will be assigned on the following grading scale.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color="auto" w:fill="C00000"/>
          </w:tcPr>
          <w:p>
            <w:pPr>
              <w:spacing w:after="0"/>
              <w:jc w:val="center"/>
            </w:pPr>
            <w:r>
              <w:rPr>
                <w:b/>
                <w:color w:val="FFFFFF"/>
                <w:sz w:val="19"/>
              </w:rPr>
              <w:t>Percentage Score</w:t>
            </w:r>
          </w:p>
        </w:tc>
        <w:tc>
          <w:tcPr>
            <w:tcW w:type="dxa" w:w="1662"/>
            <w:shd w:val="clear" w:color="auto" w:fill="C00000"/>
          </w:tcPr>
          <w:p>
            <w:pPr>
              <w:spacing w:after="0"/>
              <w:jc w:val="center"/>
            </w:pPr>
            <w:r>
              <w:rPr>
                <w:b/>
                <w:color w:val="FFFFFF"/>
                <w:sz w:val="19"/>
              </w:rPr>
              <w:t>Alpha Grade</w:t>
            </w:r>
          </w:p>
        </w:tc>
        <w:tc>
          <w:tcPr>
            <w:tcW w:type="dxa" w:w="1662"/>
            <w:shd w:val="clear" w:color="auto" w:fill="C00000"/>
          </w:tcPr>
          <w:p>
            <w:pPr>
              <w:spacing w:after="0"/>
              <w:jc w:val="center"/>
            </w:pPr>
            <w:r>
              <w:rPr>
                <w:b/>
                <w:color w:val="FFFFFF"/>
                <w:sz w:val="19"/>
              </w:rPr>
              <w:t>GPA Points</w:t>
            </w:r>
          </w:p>
        </w:tc>
        <w:tc>
          <w:tcPr>
            <w:tcW w:type="dxa" w:w="1662"/>
            <w:shd w:val="clear" w:color="auto" w:fill="C00000"/>
          </w:tcPr>
          <w:p>
            <w:pPr>
              <w:spacing w:after="0"/>
              <w:jc w:val="center"/>
            </w:pPr>
            <w:r>
              <w:rPr>
                <w:b/>
                <w:color w:val="FFFFFF"/>
                <w:sz w:val="19"/>
              </w:rPr>
              <w:t>Percentage Score</w:t>
            </w:r>
          </w:p>
        </w:tc>
        <w:tc>
          <w:tcPr>
            <w:tcW w:type="dxa" w:w="1662"/>
            <w:shd w:val="clear" w:color="auto" w:fill="C00000"/>
          </w:tcPr>
          <w:p>
            <w:pPr>
              <w:spacing w:after="0"/>
              <w:jc w:val="center"/>
            </w:pPr>
            <w:r>
              <w:rPr>
                <w:b/>
                <w:color w:val="FFFFFF"/>
                <w:sz w:val="19"/>
              </w:rPr>
              <w:t>Alpha Grade</w:t>
            </w:r>
          </w:p>
        </w:tc>
        <w:tc>
          <w:tcPr>
            <w:tcW w:type="dxa" w:w="1662"/>
            <w:shd w:val="clear" w:color="auto" w:fill="C00000"/>
          </w:tcPr>
          <w:p>
            <w:pPr>
              <w:spacing w:after="0"/>
              <w:jc w:val="center"/>
            </w:pPr>
            <w:r>
              <w:rPr>
                <w:b/>
                <w:color w:val="FFFFFF"/>
                <w:sz w:val="19"/>
              </w:rPr>
              <w:t>GPA Points</w:t>
            </w:r>
          </w:p>
        </w:tc>
      </w:tr>
      <w:tr>
        <w:tc>
          <w:tcPr>
            <w:tcW w:type="dxa" w:w="1662"/>
          </w:tcPr>
          <w:p>
            <w:pPr>
              <w:spacing w:after="0"/>
            </w:pPr>
            <w:r>
              <w:rPr>
                <w:sz w:val="19"/>
              </w:rPr>
              <w:t>90-100</w:t>
            </w:r>
          </w:p>
        </w:tc>
        <w:tc>
          <w:tcPr>
            <w:tcW w:type="dxa" w:w="1662"/>
          </w:tcPr>
          <w:p>
            <w:pPr>
              <w:spacing w:after="0"/>
            </w:pPr>
            <w:r>
              <w:rPr>
                <w:sz w:val="19"/>
              </w:rPr>
              <w:t>A+</w:t>
            </w:r>
          </w:p>
        </w:tc>
        <w:tc>
          <w:tcPr>
            <w:tcW w:type="dxa" w:w="1662"/>
          </w:tcPr>
          <w:p>
            <w:pPr>
              <w:spacing w:after="0"/>
            </w:pPr>
            <w:r>
              <w:rPr>
                <w:sz w:val="19"/>
              </w:rPr>
              <w:t>4.0</w:t>
            </w:r>
          </w:p>
        </w:tc>
        <w:tc>
          <w:tcPr>
            <w:tcW w:type="dxa" w:w="1662"/>
          </w:tcPr>
          <w:p>
            <w:pPr>
              <w:spacing w:after="0"/>
            </w:pPr>
            <w:r>
              <w:rPr>
                <w:sz w:val="19"/>
              </w:rPr>
              <w:t>60-64</w:t>
            </w:r>
          </w:p>
        </w:tc>
        <w:tc>
          <w:tcPr>
            <w:tcW w:type="dxa" w:w="1662"/>
          </w:tcPr>
          <w:p>
            <w:pPr>
              <w:spacing w:after="0"/>
            </w:pPr>
            <w:r>
              <w:rPr>
                <w:sz w:val="19"/>
              </w:rPr>
              <w:t>C</w:t>
            </w:r>
          </w:p>
        </w:tc>
        <w:tc>
          <w:tcPr>
            <w:tcW w:type="dxa" w:w="1662"/>
          </w:tcPr>
          <w:p>
            <w:pPr>
              <w:spacing w:after="0"/>
            </w:pPr>
            <w:r>
              <w:rPr>
                <w:sz w:val="19"/>
              </w:rPr>
              <w:t>2.0</w:t>
            </w:r>
          </w:p>
        </w:tc>
      </w:tr>
      <w:tr>
        <w:tc>
          <w:tcPr>
            <w:tcW w:type="dxa" w:w="1662"/>
          </w:tcPr>
          <w:p>
            <w:pPr>
              <w:spacing w:after="0"/>
            </w:pPr>
            <w:r>
              <w:rPr>
                <w:sz w:val="19"/>
              </w:rPr>
              <w:t>80-89</w:t>
            </w:r>
          </w:p>
        </w:tc>
        <w:tc>
          <w:tcPr>
            <w:tcW w:type="dxa" w:w="1662"/>
          </w:tcPr>
          <w:p>
            <w:pPr>
              <w:spacing w:after="0"/>
            </w:pPr>
            <w:r>
              <w:rPr>
                <w:sz w:val="19"/>
              </w:rPr>
              <w:t>A</w:t>
            </w:r>
          </w:p>
        </w:tc>
        <w:tc>
          <w:tcPr>
            <w:tcW w:type="dxa" w:w="1662"/>
          </w:tcPr>
          <w:p>
            <w:pPr>
              <w:spacing w:after="0"/>
            </w:pPr>
            <w:r>
              <w:rPr>
                <w:sz w:val="19"/>
              </w:rPr>
              <w:t>3.8</w:t>
            </w:r>
          </w:p>
        </w:tc>
        <w:tc>
          <w:tcPr>
            <w:tcW w:type="dxa" w:w="1662"/>
          </w:tcPr>
          <w:p>
            <w:pPr>
              <w:spacing w:after="0"/>
            </w:pPr>
            <w:r>
              <w:rPr>
                <w:sz w:val="19"/>
              </w:rPr>
              <w:t>55-59</w:t>
            </w:r>
          </w:p>
        </w:tc>
        <w:tc>
          <w:tcPr>
            <w:tcW w:type="dxa" w:w="1662"/>
          </w:tcPr>
          <w:p>
            <w:pPr>
              <w:spacing w:after="0"/>
            </w:pPr>
            <w:r>
              <w:rPr>
                <w:sz w:val="19"/>
              </w:rPr>
              <w:t>D+</w:t>
            </w:r>
          </w:p>
        </w:tc>
        <w:tc>
          <w:tcPr>
            <w:tcW w:type="dxa" w:w="1662"/>
          </w:tcPr>
          <w:p>
            <w:pPr>
              <w:spacing w:after="0"/>
            </w:pPr>
            <w:r>
              <w:rPr>
                <w:sz w:val="19"/>
              </w:rPr>
              <w:t>1.5</w:t>
            </w:r>
          </w:p>
        </w:tc>
      </w:tr>
      <w:tr>
        <w:tc>
          <w:tcPr>
            <w:tcW w:type="dxa" w:w="1662"/>
          </w:tcPr>
          <w:p>
            <w:pPr>
              <w:spacing w:after="0"/>
            </w:pPr>
            <w:r>
              <w:rPr>
                <w:sz w:val="19"/>
              </w:rPr>
              <w:t>75-79</w:t>
            </w:r>
          </w:p>
        </w:tc>
        <w:tc>
          <w:tcPr>
            <w:tcW w:type="dxa" w:w="1662"/>
          </w:tcPr>
          <w:p>
            <w:pPr>
              <w:spacing w:after="0"/>
            </w:pPr>
            <w:r>
              <w:rPr>
                <w:sz w:val="19"/>
              </w:rPr>
              <w:t>B+</w:t>
            </w:r>
          </w:p>
        </w:tc>
        <w:tc>
          <w:tcPr>
            <w:tcW w:type="dxa" w:w="1662"/>
          </w:tcPr>
          <w:p>
            <w:pPr>
              <w:spacing w:after="0"/>
            </w:pPr>
            <w:r>
              <w:rPr>
                <w:sz w:val="19"/>
              </w:rPr>
              <w:t>3.5</w:t>
            </w:r>
          </w:p>
        </w:tc>
        <w:tc>
          <w:tcPr>
            <w:tcW w:type="dxa" w:w="1662"/>
          </w:tcPr>
          <w:p>
            <w:pPr>
              <w:spacing w:after="0"/>
            </w:pPr>
            <w:r>
              <w:rPr>
                <w:sz w:val="19"/>
              </w:rPr>
              <w:t>50-54</w:t>
            </w:r>
          </w:p>
        </w:tc>
        <w:tc>
          <w:tcPr>
            <w:tcW w:type="dxa" w:w="1662"/>
          </w:tcPr>
          <w:p>
            <w:pPr>
              <w:spacing w:after="0"/>
            </w:pPr>
            <w:r>
              <w:rPr>
                <w:sz w:val="19"/>
              </w:rPr>
              <w:t>D</w:t>
            </w:r>
          </w:p>
        </w:tc>
        <w:tc>
          <w:tcPr>
            <w:tcW w:type="dxa" w:w="1662"/>
          </w:tcPr>
          <w:p>
            <w:pPr>
              <w:spacing w:after="0"/>
            </w:pPr>
            <w:r>
              <w:rPr>
                <w:sz w:val="19"/>
              </w:rPr>
              <w:t>1.0</w:t>
            </w:r>
          </w:p>
        </w:tc>
      </w:tr>
      <w:tr>
        <w:tc>
          <w:tcPr>
            <w:tcW w:type="dxa" w:w="1662"/>
          </w:tcPr>
          <w:p>
            <w:pPr>
              <w:spacing w:after="0"/>
            </w:pPr>
            <w:r>
              <w:rPr>
                <w:sz w:val="19"/>
              </w:rPr>
              <w:t>70-74</w:t>
            </w:r>
          </w:p>
        </w:tc>
        <w:tc>
          <w:tcPr>
            <w:tcW w:type="dxa" w:w="1662"/>
          </w:tcPr>
          <w:p>
            <w:pPr>
              <w:spacing w:after="0"/>
            </w:pPr>
            <w:r>
              <w:rPr>
                <w:sz w:val="19"/>
              </w:rPr>
              <w:t>B</w:t>
            </w:r>
          </w:p>
        </w:tc>
        <w:tc>
          <w:tcPr>
            <w:tcW w:type="dxa" w:w="1662"/>
          </w:tcPr>
          <w:p>
            <w:pPr>
              <w:spacing w:after="0"/>
            </w:pPr>
            <w:r>
              <w:rPr>
                <w:sz w:val="19"/>
              </w:rPr>
              <w:t>3.0</w:t>
            </w:r>
          </w:p>
        </w:tc>
        <w:tc>
          <w:tcPr>
            <w:tcW w:type="dxa" w:w="1662"/>
          </w:tcPr>
          <w:p>
            <w:pPr>
              <w:spacing w:after="0"/>
            </w:pPr>
            <w:r>
              <w:rPr>
                <w:sz w:val="19"/>
              </w:rPr>
              <w:t>0-49</w:t>
            </w:r>
          </w:p>
        </w:tc>
        <w:tc>
          <w:tcPr>
            <w:tcW w:type="dxa" w:w="1662"/>
          </w:tcPr>
          <w:p>
            <w:pPr>
              <w:spacing w:after="0"/>
            </w:pPr>
            <w:r>
              <w:rPr>
                <w:sz w:val="19"/>
              </w:rPr>
              <w:t>F</w:t>
            </w:r>
          </w:p>
        </w:tc>
        <w:tc>
          <w:tcPr>
            <w:tcW w:type="dxa" w:w="1662"/>
          </w:tcPr>
          <w:p>
            <w:pPr>
              <w:spacing w:after="0"/>
            </w:pPr>
            <w:r>
              <w:rPr>
                <w:sz w:val="19"/>
              </w:rPr>
              <w:t>0.0</w:t>
            </w:r>
          </w:p>
        </w:tc>
      </w:tr>
      <w:tr>
        <w:tc>
          <w:tcPr>
            <w:tcW w:type="dxa" w:w="1662"/>
          </w:tcPr>
          <w:p>
            <w:pPr>
              <w:spacing w:after="0"/>
            </w:pPr>
            <w:r>
              <w:rPr>
                <w:sz w:val="19"/>
              </w:rPr>
              <w:t>65-69</w:t>
            </w:r>
          </w:p>
        </w:tc>
        <w:tc>
          <w:tcPr>
            <w:tcW w:type="dxa" w:w="1662"/>
          </w:tcPr>
          <w:p>
            <w:pPr>
              <w:spacing w:after="0"/>
            </w:pPr>
            <w:r>
              <w:rPr>
                <w:sz w:val="19"/>
              </w:rPr>
              <w:t>C+</w:t>
            </w:r>
          </w:p>
        </w:tc>
        <w:tc>
          <w:tcPr>
            <w:tcW w:type="dxa" w:w="1662"/>
          </w:tcPr>
          <w:p>
            <w:pPr>
              <w:spacing w:after="0"/>
            </w:pPr>
            <w:r>
              <w:rPr>
                <w:sz w:val="19"/>
              </w:rPr>
              <w:t>2.5</w:t>
            </w:r>
          </w:p>
        </w:tc>
        <w:tc>
          <w:tcPr>
            <w:tcW w:type="dxa" w:w="1662"/>
          </w:tcPr>
          <w:p>
            <w:pPr>
              <w:spacing w:after="0"/>
            </w:pPr>
          </w:p>
        </w:tc>
        <w:tc>
          <w:tcPr>
            <w:tcW w:type="dxa" w:w="1662"/>
          </w:tcPr>
          <w:p>
            <w:pPr>
              <w:spacing w:after="0"/>
            </w:pPr>
          </w:p>
        </w:tc>
        <w:tc>
          <w:tcPr>
            <w:tcW w:type="dxa" w:w="1662"/>
          </w:tcPr>
          <w:p>
            <w:pPr>
              <w:spacing w:after="0"/>
            </w:pPr>
          </w:p>
        </w:tc>
      </w:tr>
    </w:tbl>
    <w:p>
      <w:pPr>
        <w:spacing w:after="40"/>
      </w:pPr>
    </w:p>
    <w:p>
      <w:pPr>
        <w:spacing w:after="80"/>
        <w:jc w:val="both"/>
      </w:pPr>
      <w:r>
        <w:rPr/>
        <w:t>The students must also read and comprehend the full version of the “Grading System” of the University which is published in the relevant Catalogue.</w:t>
      </w:r>
    </w:p>
    <w:p>
      <w:pPr>
        <w:tabs>
          <w:tab w:pos="680" w:val="left"/>
        </w:tabs>
        <w:spacing w:before="200" w:after="80"/>
      </w:pPr>
      <w:r>
        <w:rPr>
          <w:b/>
          <w:sz w:val="24"/>
        </w:rPr>
        <w:t>12.</w:t>
        <w:tab/>
        <w:t>GRADING RUBRICS FOR ASSESSED ELEMENTS</w:t>
      </w:r>
    </w:p>
    <w:p>
      <w:pPr>
        <w:spacing w:after="80"/>
        <w:jc w:val="center"/>
      </w:pPr>
      <w:r>
        <w:rPr>
          <w:b/>
        </w:rPr>
        <w:t>Grading Rubric for A1: MVP plan + build</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c>
          <w:tcPr>
            <w:tcW w:type="dxa" w:w="2494"/>
            <w:shd w:val="clear" w:color="auto" w:fill="C00000"/>
          </w:tcPr>
          <w:p>
            <w:pPr>
              <w:spacing w:after="0"/>
              <w:jc w:val="center"/>
            </w:pPr>
            <w:r>
              <w:rPr>
                <w:b/>
                <w:color w:val="FFFFFF"/>
                <w:sz w:val="19"/>
              </w:rPr>
              <w:t>Criteria</w:t>
            </w:r>
          </w:p>
        </w:tc>
        <w:tc>
          <w:tcPr>
            <w:tcW w:type="dxa" w:w="2381"/>
            <w:shd w:val="clear" w:color="auto" w:fill="C00000"/>
          </w:tcPr>
          <w:p>
            <w:pPr>
              <w:spacing w:after="0"/>
              <w:jc w:val="center"/>
            </w:pPr>
            <w:r>
              <w:rPr>
                <w:b/>
                <w:color w:val="FFFFFF"/>
                <w:sz w:val="19"/>
              </w:rPr>
              <w:t>Excellent (100–81%)</w:t>
            </w:r>
          </w:p>
        </w:tc>
        <w:tc>
          <w:tcPr>
            <w:tcW w:type="dxa" w:w="2381"/>
            <w:shd w:val="clear" w:color="auto" w:fill="C00000"/>
          </w:tcPr>
          <w:p>
            <w:pPr>
              <w:spacing w:after="0"/>
              <w:jc w:val="center"/>
            </w:pPr>
            <w:r>
              <w:rPr>
                <w:b/>
                <w:color w:val="FFFFFF"/>
                <w:sz w:val="19"/>
              </w:rPr>
              <w:t>Good (80–51%)</w:t>
            </w:r>
          </w:p>
        </w:tc>
        <w:tc>
          <w:tcPr>
            <w:tcW w:type="dxa" w:w="2381"/>
            <w:shd w:val="clear" w:color="auto" w:fill="C00000"/>
          </w:tcPr>
          <w:p>
            <w:pPr>
              <w:spacing w:after="0"/>
              <w:jc w:val="center"/>
            </w:pPr>
            <w:r>
              <w:rPr>
                <w:b/>
                <w:color w:val="FFFFFF"/>
                <w:sz w:val="19"/>
              </w:rPr>
              <w:t>Weak (50–0%)</w:t>
            </w:r>
          </w:p>
        </w:tc>
      </w:tr>
      <w:tr>
        <w:tc>
          <w:tcPr>
            <w:tcW w:type="dxa" w:w="2494"/>
          </w:tcPr>
          <w:p>
            <w:pPr>
              <w:spacing w:after="0"/>
            </w:pPr>
            <w:r>
              <w:rPr>
                <w:b/>
                <w:sz w:val="19"/>
              </w:rPr>
              <w:t>Core value</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Assumption</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MVP</w:t>
            </w:r>
            <w:r>
              <w:rPr>
                <w:sz w:val="19"/>
              </w:rPr>
              <w:t xml:space="preserve"> (8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Fixes</w:t>
            </w:r>
            <w:r>
              <w:rPr>
                <w:sz w:val="19"/>
              </w:rPr>
              <w:t xml:space="preserve"> (5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381"/>
            <w:gridSpan w:val="4"/>
          </w:tcPr>
          <w:p>
            <w:pPr>
              <w:spacing w:after="0"/>
            </w:pPr>
            <w:r>
              <w:rPr>
                <w:b/>
                <w:sz w:val="19"/>
              </w:rPr>
              <w:t>Total: /25</w:t>
            </w:r>
          </w:p>
        </w:tc>
      </w:tr>
    </w:tbl>
    <w:p>
      <w:pPr>
        <w:spacing w:after="40"/>
      </w:pPr>
    </w:p>
    <w:p>
      <w:pPr>
        <w:spacing w:after="80"/>
        <w:jc w:val="center"/>
      </w:pPr>
      <w:r>
        <w:rPr>
          <w:b/>
        </w:rPr>
        <w:t>Grading Rubric for A2: Build–Measure–Learn presentation</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c>
          <w:tcPr>
            <w:tcW w:type="dxa" w:w="2494"/>
            <w:shd w:val="clear" w:color="auto" w:fill="C00000"/>
          </w:tcPr>
          <w:p>
            <w:pPr>
              <w:spacing w:after="0"/>
              <w:jc w:val="center"/>
            </w:pPr>
            <w:r>
              <w:rPr>
                <w:b/>
                <w:color w:val="FFFFFF"/>
                <w:sz w:val="19"/>
              </w:rPr>
              <w:t>Criteria</w:t>
            </w:r>
          </w:p>
        </w:tc>
        <w:tc>
          <w:tcPr>
            <w:tcW w:type="dxa" w:w="2381"/>
            <w:shd w:val="clear" w:color="auto" w:fill="C00000"/>
          </w:tcPr>
          <w:p>
            <w:pPr>
              <w:spacing w:after="0"/>
              <w:jc w:val="center"/>
            </w:pPr>
            <w:r>
              <w:rPr>
                <w:b/>
                <w:color w:val="FFFFFF"/>
                <w:sz w:val="19"/>
              </w:rPr>
              <w:t>Excellent (100–81%)</w:t>
            </w:r>
          </w:p>
        </w:tc>
        <w:tc>
          <w:tcPr>
            <w:tcW w:type="dxa" w:w="2381"/>
            <w:shd w:val="clear" w:color="auto" w:fill="C00000"/>
          </w:tcPr>
          <w:p>
            <w:pPr>
              <w:spacing w:after="0"/>
              <w:jc w:val="center"/>
            </w:pPr>
            <w:r>
              <w:rPr>
                <w:b/>
                <w:color w:val="FFFFFF"/>
                <w:sz w:val="19"/>
              </w:rPr>
              <w:t>Good (80–51%)</w:t>
            </w:r>
          </w:p>
        </w:tc>
        <w:tc>
          <w:tcPr>
            <w:tcW w:type="dxa" w:w="2381"/>
            <w:shd w:val="clear" w:color="auto" w:fill="C00000"/>
          </w:tcPr>
          <w:p>
            <w:pPr>
              <w:spacing w:after="0"/>
              <w:jc w:val="center"/>
            </w:pPr>
            <w:r>
              <w:rPr>
                <w:b/>
                <w:color w:val="FFFFFF"/>
                <w:sz w:val="19"/>
              </w:rPr>
              <w:t>Weak (50–0%)</w:t>
            </w:r>
          </w:p>
        </w:tc>
      </w:tr>
      <w:tr>
        <w:tc>
          <w:tcPr>
            <w:tcW w:type="dxa" w:w="2494"/>
          </w:tcPr>
          <w:p>
            <w:pPr>
              <w:spacing w:after="0"/>
            </w:pPr>
            <w:r>
              <w:rPr>
                <w:b/>
                <w:sz w:val="19"/>
              </w:rPr>
              <w:t>Experiment</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Evidence</w:t>
            </w:r>
            <w:r>
              <w:rPr>
                <w:sz w:val="19"/>
              </w:rPr>
              <w:t xml:space="preserve"> (7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Learning</w:t>
            </w:r>
            <w:r>
              <w:rPr>
                <w:sz w:val="19"/>
              </w:rPr>
              <w:t xml:space="preserve"> (7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Defense</w:t>
            </w:r>
            <w:r>
              <w:rPr>
                <w:sz w:val="19"/>
              </w:rPr>
              <w:t xml:space="preserve"> (5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381"/>
            <w:gridSpan w:val="4"/>
          </w:tcPr>
          <w:p>
            <w:pPr>
              <w:spacing w:after="0"/>
            </w:pPr>
            <w:r>
              <w:rPr>
                <w:b/>
                <w:sz w:val="19"/>
              </w:rPr>
              <w:t>Total: /25</w:t>
            </w:r>
          </w:p>
        </w:tc>
      </w:tr>
    </w:tbl>
    <w:p>
      <w:pPr>
        <w:spacing w:after="40"/>
      </w:pPr>
    </w:p>
    <w:p>
      <w:pPr>
        <w:spacing w:after="80"/>
        <w:jc w:val="center"/>
      </w:pPr>
      <w:r>
        <w:rPr>
          <w:b/>
        </w:rPr>
        <w:t>Grading Rubric for A3: DFV evidence report</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c>
          <w:tcPr>
            <w:tcW w:type="dxa" w:w="2494"/>
            <w:shd w:val="clear" w:color="auto" w:fill="C00000"/>
          </w:tcPr>
          <w:p>
            <w:pPr>
              <w:spacing w:after="0"/>
              <w:jc w:val="center"/>
            </w:pPr>
            <w:r>
              <w:rPr>
                <w:b/>
                <w:color w:val="FFFFFF"/>
                <w:sz w:val="19"/>
              </w:rPr>
              <w:t>Criteria</w:t>
            </w:r>
          </w:p>
        </w:tc>
        <w:tc>
          <w:tcPr>
            <w:tcW w:type="dxa" w:w="2381"/>
            <w:shd w:val="clear" w:color="auto" w:fill="C00000"/>
          </w:tcPr>
          <w:p>
            <w:pPr>
              <w:spacing w:after="0"/>
              <w:jc w:val="center"/>
            </w:pPr>
            <w:r>
              <w:rPr>
                <w:b/>
                <w:color w:val="FFFFFF"/>
                <w:sz w:val="19"/>
              </w:rPr>
              <w:t>Excellent (100–81%)</w:t>
            </w:r>
          </w:p>
        </w:tc>
        <w:tc>
          <w:tcPr>
            <w:tcW w:type="dxa" w:w="2381"/>
            <w:shd w:val="clear" w:color="auto" w:fill="C00000"/>
          </w:tcPr>
          <w:p>
            <w:pPr>
              <w:spacing w:after="0"/>
              <w:jc w:val="center"/>
            </w:pPr>
            <w:r>
              <w:rPr>
                <w:b/>
                <w:color w:val="FFFFFF"/>
                <w:sz w:val="19"/>
              </w:rPr>
              <w:t>Good (80–51%)</w:t>
            </w:r>
          </w:p>
        </w:tc>
        <w:tc>
          <w:tcPr>
            <w:tcW w:type="dxa" w:w="2381"/>
            <w:shd w:val="clear" w:color="auto" w:fill="C00000"/>
          </w:tcPr>
          <w:p>
            <w:pPr>
              <w:spacing w:after="0"/>
              <w:jc w:val="center"/>
            </w:pPr>
            <w:r>
              <w:rPr>
                <w:b/>
                <w:color w:val="FFFFFF"/>
                <w:sz w:val="19"/>
              </w:rPr>
              <w:t>Weak (50–0%)</w:t>
            </w:r>
          </w:p>
        </w:tc>
      </w:tr>
      <w:tr>
        <w:tc>
          <w:tcPr>
            <w:tcW w:type="dxa" w:w="2494"/>
          </w:tcPr>
          <w:p>
            <w:pPr>
              <w:spacing w:after="0"/>
            </w:pPr>
            <w:r>
              <w:rPr>
                <w:b/>
                <w:sz w:val="19"/>
              </w:rPr>
              <w:t>Desirability</w:t>
            </w:r>
            <w:r>
              <w:rPr>
                <w:sz w:val="19"/>
              </w:rPr>
              <w:t xml:space="preserve"> (7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Feasibility</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Viability</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Next test</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381"/>
            <w:gridSpan w:val="4"/>
          </w:tcPr>
          <w:p>
            <w:pPr>
              <w:spacing w:after="0"/>
            </w:pPr>
            <w:r>
              <w:rPr>
                <w:b/>
                <w:sz w:val="19"/>
              </w:rPr>
              <w:t>Total: /25</w:t>
            </w:r>
          </w:p>
        </w:tc>
      </w:tr>
    </w:tbl>
    <w:p>
      <w:pPr>
        <w:spacing w:after="40"/>
      </w:pPr>
    </w:p>
    <w:p>
      <w:pPr>
        <w:spacing w:after="80"/>
        <w:jc w:val="center"/>
      </w:pPr>
      <w:r>
        <w:rPr>
          <w:b/>
        </w:rPr>
        <w:t>Grading Rubric for A4: Pitch + founder reflection</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c>
          <w:tcPr>
            <w:tcW w:type="dxa" w:w="2494"/>
            <w:shd w:val="clear" w:color="auto" w:fill="C00000"/>
          </w:tcPr>
          <w:p>
            <w:pPr>
              <w:spacing w:after="0"/>
              <w:jc w:val="center"/>
            </w:pPr>
            <w:r>
              <w:rPr>
                <w:b/>
                <w:color w:val="FFFFFF"/>
                <w:sz w:val="19"/>
              </w:rPr>
              <w:t>Criteria</w:t>
            </w:r>
          </w:p>
        </w:tc>
        <w:tc>
          <w:tcPr>
            <w:tcW w:type="dxa" w:w="2381"/>
            <w:shd w:val="clear" w:color="auto" w:fill="C00000"/>
          </w:tcPr>
          <w:p>
            <w:pPr>
              <w:spacing w:after="0"/>
              <w:jc w:val="center"/>
            </w:pPr>
            <w:r>
              <w:rPr>
                <w:b/>
                <w:color w:val="FFFFFF"/>
                <w:sz w:val="19"/>
              </w:rPr>
              <w:t>Excellent (100–81%)</w:t>
            </w:r>
          </w:p>
        </w:tc>
        <w:tc>
          <w:tcPr>
            <w:tcW w:type="dxa" w:w="2381"/>
            <w:shd w:val="clear" w:color="auto" w:fill="C00000"/>
          </w:tcPr>
          <w:p>
            <w:pPr>
              <w:spacing w:after="0"/>
              <w:jc w:val="center"/>
            </w:pPr>
            <w:r>
              <w:rPr>
                <w:b/>
                <w:color w:val="FFFFFF"/>
                <w:sz w:val="19"/>
              </w:rPr>
              <w:t>Good (80–51%)</w:t>
            </w:r>
          </w:p>
        </w:tc>
        <w:tc>
          <w:tcPr>
            <w:tcW w:type="dxa" w:w="2381"/>
            <w:shd w:val="clear" w:color="auto" w:fill="C00000"/>
          </w:tcPr>
          <w:p>
            <w:pPr>
              <w:spacing w:after="0"/>
              <w:jc w:val="center"/>
            </w:pPr>
            <w:r>
              <w:rPr>
                <w:b/>
                <w:color w:val="FFFFFF"/>
                <w:sz w:val="19"/>
              </w:rPr>
              <w:t>Weak (50–0%)</w:t>
            </w:r>
          </w:p>
        </w:tc>
      </w:tr>
      <w:tr>
        <w:tc>
          <w:tcPr>
            <w:tcW w:type="dxa" w:w="2494"/>
          </w:tcPr>
          <w:p>
            <w:pPr>
              <w:spacing w:after="0"/>
            </w:pPr>
            <w:r>
              <w:rPr>
                <w:b/>
                <w:sz w:val="19"/>
              </w:rPr>
              <w:t>Problem and user evidence</w:t>
            </w:r>
            <w:r>
              <w:rPr>
                <w:sz w:val="19"/>
              </w:rPr>
              <w:t xml:space="preserve"> (5 marks)</w:t>
            </w:r>
          </w:p>
        </w:tc>
        <w:tc>
          <w:tcPr>
            <w:tcW w:type="dxa" w:w="2381"/>
          </w:tcPr>
          <w:p>
            <w:pPr>
              <w:spacing w:after="0"/>
            </w:pPr>
            <w:r>
              <w:rPr>
                <w:sz w:val="19"/>
              </w:rPr>
              <w:t>Quotes and observations from real users.</w:t>
            </w:r>
          </w:p>
        </w:tc>
        <w:tc>
          <w:tcPr>
            <w:tcW w:type="dxa" w:w="2381"/>
          </w:tcPr>
          <w:p>
            <w:pPr>
              <w:spacing w:after="0"/>
            </w:pPr>
            <w:r>
              <w:rPr>
                <w:sz w:val="19"/>
              </w:rPr>
              <w:t>Some evidence, partly assumed.</w:t>
            </w:r>
          </w:p>
        </w:tc>
        <w:tc>
          <w:tcPr>
            <w:tcW w:type="dxa" w:w="2381"/>
          </w:tcPr>
          <w:p>
            <w:pPr>
              <w:spacing w:after="0"/>
            </w:pPr>
            <w:r>
              <w:rPr>
                <w:sz w:val="19"/>
              </w:rPr>
              <w:t>No user evidence.</w:t>
            </w:r>
          </w:p>
        </w:tc>
      </w:tr>
      <w:tr>
        <w:tc>
          <w:tcPr>
            <w:tcW w:type="dxa" w:w="2494"/>
          </w:tcPr>
          <w:p>
            <w:pPr>
              <w:spacing w:after="0"/>
            </w:pPr>
            <w:r>
              <w:rPr>
                <w:b/>
                <w:sz w:val="19"/>
              </w:rPr>
              <w:t>MVP and test results</w:t>
            </w:r>
            <w:r>
              <w:rPr>
                <w:sz w:val="19"/>
              </w:rPr>
              <w:t xml:space="preserve"> (5 marks)</w:t>
            </w:r>
          </w:p>
        </w:tc>
        <w:tc>
          <w:tcPr>
            <w:tcW w:type="dxa" w:w="2381"/>
          </w:tcPr>
          <w:p>
            <w:pPr>
              <w:spacing w:after="0"/>
            </w:pPr>
            <w:r>
              <w:rPr>
                <w:sz w:val="19"/>
              </w:rPr>
              <w:t>Clear tests and the changes they caused.</w:t>
            </w:r>
          </w:p>
        </w:tc>
        <w:tc>
          <w:tcPr>
            <w:tcW w:type="dxa" w:w="2381"/>
          </w:tcPr>
          <w:p>
            <w:pPr>
              <w:spacing w:after="0"/>
            </w:pPr>
            <w:r>
              <w:rPr>
                <w:sz w:val="19"/>
              </w:rPr>
              <w:t>Tests done, little change.</w:t>
            </w:r>
          </w:p>
        </w:tc>
        <w:tc>
          <w:tcPr>
            <w:tcW w:type="dxa" w:w="2381"/>
          </w:tcPr>
          <w:p>
            <w:pPr>
              <w:spacing w:after="0"/>
            </w:pPr>
            <w:r>
              <w:rPr>
                <w:sz w:val="19"/>
              </w:rPr>
              <w:t>No testing.</w:t>
            </w:r>
          </w:p>
        </w:tc>
      </w:tr>
      <w:tr>
        <w:tc>
          <w:tcPr>
            <w:tcW w:type="dxa" w:w="2494"/>
          </w:tcPr>
          <w:p>
            <w:pPr>
              <w:spacing w:after="0"/>
            </w:pPr>
            <w:r>
              <w:rPr>
                <w:b/>
                <w:sz w:val="19"/>
              </w:rPr>
              <w:t>Desirability, feasibility, viability</w:t>
            </w:r>
            <w:r>
              <w:rPr>
                <w:sz w:val="19"/>
              </w:rPr>
              <w:t xml:space="preserve"> (5 marks)</w:t>
            </w:r>
          </w:p>
        </w:tc>
        <w:tc>
          <w:tcPr>
            <w:tcW w:type="dxa" w:w="2381"/>
          </w:tcPr>
          <w:p>
            <w:pPr>
              <w:spacing w:after="0"/>
            </w:pPr>
            <w:r>
              <w:rPr>
                <w:sz w:val="19"/>
              </w:rPr>
              <w:t>Evidence for all three, gaps named.</w:t>
            </w:r>
          </w:p>
        </w:tc>
        <w:tc>
          <w:tcPr>
            <w:tcW w:type="dxa" w:w="2381"/>
          </w:tcPr>
          <w:p>
            <w:pPr>
              <w:spacing w:after="0"/>
            </w:pPr>
            <w:r>
              <w:rPr>
                <w:sz w:val="19"/>
              </w:rPr>
              <w:t>One or two covered.</w:t>
            </w:r>
          </w:p>
        </w:tc>
        <w:tc>
          <w:tcPr>
            <w:tcW w:type="dxa" w:w="2381"/>
          </w:tcPr>
          <w:p>
            <w:pPr>
              <w:spacing w:after="0"/>
            </w:pPr>
            <w:r>
              <w:rPr>
                <w:sz w:val="19"/>
              </w:rPr>
              <w:t>Not addressed.</w:t>
            </w:r>
          </w:p>
        </w:tc>
      </w:tr>
      <w:tr>
        <w:tc>
          <w:tcPr>
            <w:tcW w:type="dxa" w:w="2494"/>
          </w:tcPr>
          <w:p>
            <w:pPr>
              <w:spacing w:after="0"/>
            </w:pPr>
            <w:r>
              <w:rPr>
                <w:b/>
                <w:sz w:val="19"/>
              </w:rPr>
              <w:t>Delivery and Q&amp;A</w:t>
            </w:r>
            <w:r>
              <w:rPr>
                <w:sz w:val="19"/>
              </w:rPr>
              <w:t xml:space="preserve"> (5 marks)</w:t>
            </w:r>
          </w:p>
        </w:tc>
        <w:tc>
          <w:tcPr>
            <w:tcW w:type="dxa" w:w="2381"/>
          </w:tcPr>
          <w:p>
            <w:pPr>
              <w:spacing w:after="0"/>
            </w:pPr>
            <w:r>
              <w:rPr>
                <w:sz w:val="19"/>
              </w:rPr>
              <w:t>On time, clear, confident answers.</w:t>
            </w:r>
          </w:p>
        </w:tc>
        <w:tc>
          <w:tcPr>
            <w:tcW w:type="dxa" w:w="2381"/>
          </w:tcPr>
          <w:p>
            <w:pPr>
              <w:spacing w:after="0"/>
            </w:pPr>
            <w:r>
              <w:rPr>
                <w:sz w:val="19"/>
              </w:rPr>
              <w:t>Over time or unclear in places.</w:t>
            </w:r>
          </w:p>
        </w:tc>
        <w:tc>
          <w:tcPr>
            <w:tcW w:type="dxa" w:w="2381"/>
          </w:tcPr>
          <w:p>
            <w:pPr>
              <w:spacing w:after="0"/>
            </w:pPr>
            <w:r>
              <w:rPr>
                <w:sz w:val="19"/>
              </w:rPr>
              <w:t>Unprepared.</w:t>
            </w:r>
          </w:p>
        </w:tc>
      </w:tr>
      <w:tr>
        <w:tc>
          <w:tcPr>
            <w:tcW w:type="dxa" w:w="2494"/>
          </w:tcPr>
          <w:p>
            <w:pPr>
              <w:spacing w:after="0"/>
            </w:pPr>
            <w:r>
              <w:rPr>
                <w:b/>
                <w:sz w:val="19"/>
              </w:rPr>
              <w:t>Founder reflection (individual)</w:t>
            </w:r>
            <w:r>
              <w:rPr>
                <w:sz w:val="19"/>
              </w:rPr>
              <w:t xml:space="preserve"> (5 marks)</w:t>
            </w:r>
          </w:p>
        </w:tc>
        <w:tc>
          <w:tcPr>
            <w:tcW w:type="dxa" w:w="2381"/>
          </w:tcPr>
          <w:p>
            <w:pPr>
              <w:spacing w:after="0"/>
            </w:pPr>
            <w:r>
              <w:rPr>
                <w:sz w:val="19"/>
              </w:rPr>
              <w:t>Specific lessons and next steps.</w:t>
            </w:r>
          </w:p>
        </w:tc>
        <w:tc>
          <w:tcPr>
            <w:tcW w:type="dxa" w:w="2381"/>
          </w:tcPr>
          <w:p>
            <w:pPr>
              <w:spacing w:after="0"/>
            </w:pPr>
            <w:r>
              <w:rPr>
                <w:sz w:val="19"/>
              </w:rPr>
              <w:t>General reflection.</w:t>
            </w:r>
          </w:p>
        </w:tc>
        <w:tc>
          <w:tcPr>
            <w:tcW w:type="dxa" w:w="2381"/>
          </w:tcPr>
          <w:p>
            <w:pPr>
              <w:spacing w:after="0"/>
            </w:pPr>
            <w:r>
              <w:rPr>
                <w:sz w:val="19"/>
              </w:rPr>
              <w:t>Missing.</w:t>
            </w:r>
          </w:p>
        </w:tc>
      </w:tr>
      <w:tr>
        <w:tc>
          <w:tcPr>
            <w:tcW w:type="dxa" w:w="2381"/>
            <w:gridSpan w:val="4"/>
          </w:tcPr>
          <w:p>
            <w:pPr>
              <w:spacing w:after="0"/>
            </w:pPr>
            <w:r>
              <w:rPr>
                <w:b/>
                <w:sz w:val="19"/>
              </w:rPr>
              <w:t>Total: /25</w:t>
            </w:r>
          </w:p>
        </w:tc>
      </w:tr>
    </w:tbl>
    <w:p>
      <w:pPr>
        <w:spacing w:after="40"/>
      </w:pPr>
    </w:p>
    <w:p>
      <w:pPr>
        <w:tabs>
          <w:tab w:pos="680" w:val="left"/>
        </w:tabs>
        <w:spacing w:before="200" w:after="80"/>
      </w:pPr>
      <w:r>
        <w:rPr>
          <w:b/>
          <w:sz w:val="24"/>
        </w:rPr>
        <w:t>13.</w:t>
        <w:tab/>
        <w:t>VERIFICATION</w:t>
      </w:r>
    </w:p>
    <w:tbl>
      <w:tblPr>
        <w:tblStyle w:val="TableGrid"/>
        <w:tblW w:type="auto" w:w="0"/>
        <w:jc w:val="center"/>
        <w:tblLook w:firstColumn="1" w:firstRow="1" w:lastColumn="0" w:lastRow="0" w:noHBand="0" w:noVBand="1" w:val="04A0"/>
      </w:tblPr>
      <w:tblGrid>
        <w:gridCol w:w="9972"/>
      </w:tblGrid>
      <w:tr>
        <w:tc>
          <w:tcPr>
            <w:tcW w:type="dxa" w:w="9972"/>
          </w:tcPr>
          <w:p>
            <w:pPr>
              <w:spacing w:after="0"/>
            </w:pPr>
            <w:r>
              <w:rPr>
                <w:sz w:val="19"/>
              </w:rPr>
              <w:t>(i) I verify that the contents of this document are up to date.</w:t>
            </w:r>
          </w:p>
        </w:tc>
      </w:tr>
      <w:tr>
        <w:tc>
          <w:tcPr>
            <w:tcW w:type="dxa" w:w="9972"/>
          </w:tcPr>
          <w:p>
            <w:pPr>
              <w:spacing w:after="0"/>
            </w:pPr>
            <w:r>
              <w:rPr>
                <w:sz w:val="19"/>
              </w:rPr>
              <w:t>Instructor’s Name and Signature                    Date</w:t>
            </w:r>
          </w:p>
        </w:tc>
      </w:tr>
      <w:tr>
        <w:tc>
          <w:tcPr>
            <w:tcW w:type="dxa" w:w="9972"/>
          </w:tcPr>
          <w:p>
            <w:pPr>
              <w:spacing w:after="0"/>
            </w:pPr>
            <w:r>
              <w:rPr>
                <w:sz w:val="19"/>
              </w:rPr>
              <w:t>(ii) I have reviewed this course syllabus and state that it complies with CUD policies and guidelines.</w:t>
            </w:r>
          </w:p>
        </w:tc>
      </w:tr>
      <w:tr>
        <w:tc>
          <w:tcPr>
            <w:tcW w:type="dxa" w:w="9972"/>
          </w:tcPr>
          <w:p>
            <w:pPr>
              <w:spacing w:after="0"/>
            </w:pPr>
            <w:r>
              <w:rPr>
                <w:sz w:val="19"/>
              </w:rPr>
              <w:t>Name and Signature of Department Chair/Program Coordinator          Date</w:t>
            </w:r>
          </w:p>
        </w:tc>
      </w:tr>
    </w:tbl>
    <w:p>
      <w:pPr>
        <w:spacing w:after="40"/>
      </w:pPr>
    </w:p>
    <w:p>
      <w:pPr>
        <w:spacing w:after="80"/>
        <w:jc w:val="both"/>
      </w:pPr>
      <w:r>
        <w:rPr>
          <w:i/>
        </w:rPr>
        <w:t>Note: This page of the course syllabus is only for the purpose of documentation and therefore it should not be distributed to the students.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