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Assumptions and Unknowns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This section records the assumptions currently required to make the Scenario 5 design buildable. These are not confirmed facts unless explicitly stated in the scenario. Claude must not treat these assumptions as guaranteed production truth.</w:t>
      </w:r>
      <w:r>
        <w:br/>
      </w:r>
      <w:r>
        <w:br/>
      </w:r>
      <w:r>
        <w:rPr>
          <w:rStyle w:val="NormalTok"/>
        </w:rPr>
        <w:t xml:space="preserve">Use this section to: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separate known facts from inferred design choices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identify what must be validated before production build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prevent hidden or invented certainty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surface dependencies on client data, systems, workflow ownership, and policy</w:t>
      </w:r>
      <w:r>
        <w:br/>
      </w:r>
      <w:r>
        <w:br/>
      </w:r>
      <w:r>
        <w:rPr>
          <w:rStyle w:val="FunctionTok"/>
        </w:rPr>
        <w:t xml:space="preserve">## Known Facts From The Scenario</w:t>
      </w:r>
      <w:r>
        <w:br/>
      </w:r>
      <w:r>
        <w:br/>
      </w:r>
      <w:r>
        <w:rPr>
          <w:rStyle w:val="NormalTok"/>
        </w:rPr>
        <w:t xml:space="preserve">The following are known from Scenario 5: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client is a family medicine practice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has **6 physicians**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operates across **2 locations**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sees approximately **180 patients per day**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front-desk team has **4 people**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intake work includes insurance verification, prior-auth checks for scheduled procedures, questionnaires, medication reconciliation support, allergy-flag review support, and reason-for-visit routing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physicians often start visits with incomplete intake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most common failures are **expired prior authorisations** and **unreviewed medication changes**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clinic uses **athenahealth**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clinic also uses a separate **insurance eligibility tool**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solution must respect HIPAA and state medical-record compliance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clinical judgment must remain human</w:t>
      </w:r>
      <w:r>
        <w:br/>
      </w:r>
      <w:r>
        <w:br/>
      </w:r>
      <w:r>
        <w:rPr>
          <w:rStyle w:val="NormalTok"/>
        </w:rPr>
        <w:t xml:space="preserve">Anything beyond the above must be treated as an assumption or unknown unless validated.</w:t>
      </w:r>
      <w:r>
        <w:br/>
      </w:r>
      <w:r>
        <w:br/>
      </w:r>
      <w:r>
        <w:rPr>
          <w:rStyle w:val="FunctionTok"/>
        </w:rPr>
        <w:t xml:space="preserve">## Assumptions Requiring Validation</w:t>
      </w:r>
      <w:r>
        <w:br/>
      </w:r>
      <w:r>
        <w:br/>
      </w:r>
      <w:r>
        <w:rPr>
          <w:rStyle w:val="FunctionTok"/>
        </w:rPr>
        <w:t xml:space="preserve">### A1. Machine-Accessible EHR Interfaces Exist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athenahealth is accessible through APIs or another machine-consumable integration method for: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appointments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medication lists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allergy flags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proposed workflow depends on retrieving structured EHR data automatically. Without this access, major parts of the agentic design cannot function as specified.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which athenahealth interfaces are available in this clinic environment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appointment, medication, and allergy data are exposed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 limitations, auth method, rate limits, and write restrictions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design would need to shift to manual or partially manual workflows, and several automated checks would not be implementable.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A2. The Insurance Eligibility Tool Has Machine-Accessible Integration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separate insurance eligibility system supports API access or another machine-driven integration pattern.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Insurance verification is one of the core intake steps. The proposed automation depends on a structured eligibility result.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an API exists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not, whether there is an approved RPA or batch interface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returned status values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timeout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authentication and throughput limits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Insurance verification may remain human-led, reducing the degree of safe automation and changing readiness logic.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A3. Prior-Auth Requirement Rules Exist In Structured Form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clinic has, or can provide, an explicit structured source of truth for determining whether a scheduled procedure requires prior authorization.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agent can safely check prior-auth requirement only if the decision is based on explicit configured rules. It must not infer payer or clinical logic.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prior-auth rules already exist in structured form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rules vary by payer, procedure, location, or provider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where those rules are maintained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owns updates and exception handling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agent would be unable to safely determine prior-auth requirement and would need to escalate more cases or remove this automation step.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A4. Patient Intake Can Be Collected Digitally Before The Visit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Patients can receive and complete pre-visit questionnaires through an approved digital channel such as portal, SMS, or email.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proposed design assumes questionnaire collection can happen before the visit and can be tracked automatically.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which communication channels are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the clinic already has patient consent and delivery infrastructure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percentage of patients can realistically complete digital intake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process for patients who do not use digital channels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Questionnaire completion may remain partially manual, limiting intake completeness improvements and requiring different operational design.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A5. There Is A Defined Human Owner For Safety-Sensitive Escalations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clinic has a real operational owner for human review queues, especially for: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urgent-looking or ambiguous visit reasons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flag review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An escalation path is only safe if a responsible team actually receives, monitors, and resolves the work in time.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is a real queue or a placeholder label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reviews urgent-looking visit reasons first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 response times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happens outside business hours or near visit start time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system could escalate correctly in software but still fail operationally because nobody owns the review.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A6. Patient-Reported Medication Changes Can Be Stored Before Human Review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system is allowed to store unverified patient-reported medication changes in a staging area before human review.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design requires collecting and comparing patient-reported medication information without automatically treating it as confirmed medical record data.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unverified patient-reported medication data can be stored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it may be written into athenahealth or must remain external until reviewed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labeling of unverified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retention and audit requirements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Medication-change collection may need a different storage and workflow design.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A7. Allergy Flags Are Available As Structured EHR Data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Allergy information is stored in athenahealth in a structured format that can be detected reliably.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design assumes the system can determine whether an allergy flag exists without interpreting unstructured notes.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allergy flags are structured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severity is structured or absent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the system can distinguish active vs inactive allergy records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access restrictions apply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agent may not be able to detect allergy presence safely, requiring broader human review.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A8. Visit Reason Routing Rules And Trigger Phrases Can Be Defined Explicitly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clinic can provide a narrow administrative routing taxonomy and a maintained list of urgent-trigger phrases that require human review.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design deliberately avoids free-form clinical interpretation. It depends on explicit rules for what counts as safe administrative routing versus mandatory escalation.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the approved routine categories are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which phrases always require human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maintains the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how updates are approved and deployed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Visit-reason routing may become either too risky or too weakly defined to implement safely.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A9. Staff Roles And Permissions Are Distinct Enough To Support Controlled Overrides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clinic distinguishes front-desk, clinical staff, and manager permissions in a way that supports queue-based review and audited overrides.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design depends on different users being allowed to see, resolve, or override different types of intake issues.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role and permission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may resolve which escalation types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may override blocked or hold states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override reason capture is already policy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system could route work correctly but still fail governance or operational control requirements.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A10. Logging, Retention, And Compliance Requirements Are More Specific Than The Scenario States</w:t>
      </w:r>
      <w:r>
        <w:br/>
      </w:r>
      <w:r>
        <w:br/>
      </w:r>
      <w:r>
        <w:rPr>
          <w:rStyle w:val="NormalTok"/>
        </w:rPr>
        <w:t xml:space="preserve">**Assumption**  </w:t>
      </w:r>
      <w:r>
        <w:br/>
      </w:r>
      <w:r>
        <w:rPr>
          <w:rStyle w:val="NormalTok"/>
        </w:rPr>
        <w:t xml:space="preserve">The clinic has defined retention and audit requirements for PHI access logs, workflow logs, escalation records, and override records.</w:t>
      </w:r>
      <w:r>
        <w:br/>
      </w:r>
      <w:r>
        <w:br/>
      </w:r>
      <w:r>
        <w:rPr>
          <w:rStyle w:val="NormalTok"/>
        </w:rPr>
        <w:t xml:space="preserve">**Why this matters**  </w:t>
      </w:r>
      <w:r>
        <w:br/>
      </w:r>
      <w:r>
        <w:rPr>
          <w:rStyle w:val="NormalTok"/>
        </w:rPr>
        <w:t xml:space="preserve">The scenario mentions HIPAA and state medical-record compliance, but not exact retention periods or audit controls. A production-safe build requires more precision.</w:t>
      </w:r>
      <w:r>
        <w:br/>
      </w:r>
      <w:r>
        <w:br/>
      </w:r>
      <w:r>
        <w:rPr>
          <w:rStyle w:val="NormalTok"/>
        </w:rPr>
        <w:t xml:space="preserve">**What must be validated**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retention periods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workflow logs are part of the medical record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access-log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storage location for logs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deletion and archival policy</w:t>
      </w:r>
      <w:r>
        <w:br/>
      </w:r>
      <w:r>
        <w:br/>
      </w:r>
      <w:r>
        <w:rPr>
          <w:rStyle w:val="NormalTok"/>
        </w:rPr>
        <w:t xml:space="preserve">**Risk if false**  </w:t>
      </w:r>
      <w:r>
        <w:br/>
      </w:r>
      <w:r>
        <w:rPr>
          <w:rStyle w:val="NormalTok"/>
        </w:rPr>
        <w:t xml:space="preserve">The system may be operationally useful but non-compliant.</w:t>
      </w:r>
      <w:r>
        <w:br/>
      </w:r>
      <w:r>
        <w:br/>
      </w:r>
      <w:r>
        <w:rPr>
          <w:rStyle w:val="FunctionTok"/>
        </w:rPr>
        <w:t xml:space="preserve">## Unknowns That Must Be Resolved Before Production Build</w:t>
      </w:r>
      <w:r>
        <w:br/>
      </w:r>
      <w:r>
        <w:br/>
      </w:r>
      <w:r>
        <w:rPr>
          <w:rStyle w:val="NormalTok"/>
        </w:rPr>
        <w:t xml:space="preserve">These are not just assumptions; they are unresolved design dependencies.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Unknown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It Matters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athenahealth integration contract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the proposed automated EHR reads are feasible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insurance eligibility interface and failure behaviors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verification reliability and fallback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Whether prior-auth logic is centralized, payer-specific, or staff tribal knowledge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prior-auth checks can be automated safely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Which staff role owns urgent-looking visit reasons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escalation logic is operationally viable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Whether patient-reported medication changes can be staged separately from the official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safe storage model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Approved channels for patient outreach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questionnaire delivery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U7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Actual baseline metrics for intake completeness, handling time, and failure rates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Needed to validate proposed success targets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compliance requirements for audit logs and retention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Needed before production deployment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Validation Questions For The Client</w:t>
      </w:r>
      <w:r>
        <w:br/>
      </w:r>
      <w:r>
        <w:br/>
      </w:r>
      <w:r>
        <w:rPr>
          <w:rStyle w:val="NormalTok"/>
        </w:rPr>
        <w:t xml:space="preserve">Before production build, validate at least the following: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Which athenahealth data domains and APIs are available in your environment?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Does the insurance eligibility tool expose an API or only a manual workflow?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Where are prior-auth rules currently defined, and are they structured enough for automation?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Which channels are approved for sending pre-visit questionnaires?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Who owns review of urgent-looking or ambiguous visit reasons?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Can unverified patient-reported medication data be stored outside or inside the EHR before review?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How are allergy records represented in athenahealth?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What role-based permissions exist for front-desk staff, clinical staff, and managers?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What audit logging and retention requirements apply to this workflow?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What are the current baseline metrics for intake completeness, delays, and defect rates?</w:t>
      </w:r>
      <w:r>
        <w:br/>
      </w:r>
      <w:r>
        <w:br/>
      </w:r>
      <w:r>
        <w:rPr>
          <w:rStyle w:val="FunctionTok"/>
        </w:rPr>
        <w:t xml:space="preserve">## Build Guidance For Claude</w:t>
      </w:r>
      <w:r>
        <w:br/>
      </w:r>
      <w:r>
        <w:br/>
      </w:r>
      <w:r>
        <w:rPr>
          <w:rStyle w:val="NormalTok"/>
        </w:rPr>
        <w:t xml:space="preserve">When building from this section: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convert assumptions into hard-coded facts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integrations configurable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 unresolved unknowns as blockers for production readiness, not reasons to invent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expose assumptions clearly in config, docs, or admin settings where possible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escalation and human review when an unknown affects safety or correctness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any client-specific rule source externalized rather than embedded in model inference</w:t>
      </w:r>
      <w:r>
        <w:br/>
      </w:r>
      <w:r>
        <w:br/>
      </w:r>
      <w:r>
        <w:rPr>
          <w:rStyle w:val="FunctionTok"/>
        </w:rPr>
        <w:t xml:space="preserve">## Sources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`README-Participants-Week1-Scenarios.md`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`README-Participants-Intro-Week1.md`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`production-spec-checklist.md`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`claude-md-examples-guide.md`</w:t>
      </w:r>
    </w:p>
    <w:bookmarkStart w:id="24" w:name="quick-critique"/>
    <w:p>
      <w:pPr>
        <w:pStyle w:val="Heading2"/>
      </w:pPr>
      <w:r>
        <w:t xml:space="preserve">Quick critique</w:t>
      </w:r>
    </w:p>
    <w:bookmarkStart w:id="20" w:name="strongest-aspects"/>
    <w:p>
      <w:pPr>
        <w:pStyle w:val="Heading3"/>
      </w:pPr>
      <w:r>
        <w:t xml:space="preserve">Strongest aspects</w:t>
      </w:r>
    </w:p>
    <w:p>
      <w:pPr>
        <w:pStyle w:val="Compact"/>
        <w:numPr>
          <w:ilvl w:val="0"/>
          <w:numId w:val="1001"/>
        </w:numPr>
      </w:pPr>
      <w:r>
        <w:t xml:space="preserve">More than 5 genuine unknowns</w:t>
      </w:r>
    </w:p>
    <w:p>
      <w:pPr>
        <w:pStyle w:val="Compact"/>
        <w:numPr>
          <w:ilvl w:val="0"/>
          <w:numId w:val="1001"/>
        </w:numPr>
      </w:pPr>
      <w:r>
        <w:t xml:space="preserve">Focused on real client dependencies:</w:t>
      </w:r>
    </w:p>
    <w:p>
      <w:pPr>
        <w:pStyle w:val="Compact"/>
        <w:numPr>
          <w:ilvl w:val="1"/>
          <w:numId w:val="1002"/>
        </w:numPr>
      </w:pPr>
      <w:r>
        <w:t xml:space="preserve">data</w:t>
      </w:r>
    </w:p>
    <w:p>
      <w:pPr>
        <w:pStyle w:val="Compact"/>
        <w:numPr>
          <w:ilvl w:val="1"/>
          <w:numId w:val="1002"/>
        </w:numPr>
      </w:pPr>
      <w:r>
        <w:t xml:space="preserve">systems</w:t>
      </w:r>
    </w:p>
    <w:p>
      <w:pPr>
        <w:pStyle w:val="Compact"/>
        <w:numPr>
          <w:ilvl w:val="1"/>
          <w:numId w:val="1002"/>
        </w:numPr>
      </w:pPr>
      <w:r>
        <w:t xml:space="preserve">workflow ownership</w:t>
      </w:r>
    </w:p>
    <w:p>
      <w:pPr>
        <w:pStyle w:val="Compact"/>
        <w:numPr>
          <w:ilvl w:val="1"/>
          <w:numId w:val="1002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Clearly separates known facts from assumptions</w:t>
      </w:r>
    </w:p>
    <w:p>
      <w:pPr>
        <w:pStyle w:val="Compact"/>
        <w:numPr>
          <w:ilvl w:val="0"/>
          <w:numId w:val="1001"/>
        </w:numPr>
      </w:pPr>
      <w:r>
        <w:t xml:space="preserve">Gives Claude build guidance without pretending uncertain items are resolved</w:t>
      </w:r>
    </w:p>
    <w:bookmarkEnd w:id="20"/>
    <w:bookmarkStart w:id="21" w:name="biggest-risks"/>
    <w:p>
      <w:pPr>
        <w:pStyle w:val="Heading3"/>
      </w:pPr>
      <w:r>
        <w:t xml:space="preserve">Biggest risks</w:t>
      </w:r>
    </w:p>
    <w:p>
      <w:pPr>
        <w:pStyle w:val="Compact"/>
        <w:numPr>
          <w:ilvl w:val="0"/>
          <w:numId w:val="1003"/>
        </w:numPr>
      </w:pPr>
      <w:r>
        <w:t xml:space="preserve">Some reviewers may want a shorter list</w:t>
      </w:r>
    </w:p>
    <w:p>
      <w:pPr>
        <w:pStyle w:val="Compact"/>
        <w:numPr>
          <w:ilvl w:val="0"/>
          <w:numId w:val="1003"/>
        </w:numPr>
      </w:pPr>
      <w:r>
        <w:t xml:space="preserve">A few assumptions may later split into separate technical and operational validation items</w:t>
      </w:r>
    </w:p>
    <w:p>
      <w:pPr>
        <w:pStyle w:val="Compact"/>
        <w:numPr>
          <w:ilvl w:val="0"/>
          <w:numId w:val="1003"/>
        </w:numPr>
      </w:pPr>
      <w:r>
        <w:t xml:space="preserve">It still does not specify priority order for validation</w:t>
      </w:r>
    </w:p>
    <w:bookmarkEnd w:id="21"/>
    <w:bookmarkStart w:id="22" w:name="likely-challenge-questions"/>
    <w:p>
      <w:pPr>
        <w:pStyle w:val="Heading3"/>
      </w:pPr>
      <w:r>
        <w:t xml:space="preserve">Likely challenge questions</w:t>
      </w:r>
    </w:p>
    <w:p>
      <w:pPr>
        <w:pStyle w:val="Compact"/>
        <w:numPr>
          <w:ilvl w:val="0"/>
          <w:numId w:val="1004"/>
        </w:numPr>
      </w:pPr>
      <w:r>
        <w:t xml:space="preserve">Which unknowns are blockers versus nice-to-have clarifications?</w:t>
      </w:r>
    </w:p>
    <w:p>
      <w:pPr>
        <w:pStyle w:val="Compact"/>
        <w:numPr>
          <w:ilvl w:val="0"/>
          <w:numId w:val="1004"/>
        </w:numPr>
      </w:pPr>
      <w:r>
        <w:t xml:space="preserve">Which assumptions can be safely abstracted behind configuration?</w:t>
      </w:r>
    </w:p>
    <w:p>
      <w:pPr>
        <w:pStyle w:val="Compact"/>
        <w:numPr>
          <w:ilvl w:val="0"/>
          <w:numId w:val="1004"/>
        </w:numPr>
      </w:pPr>
      <w:r>
        <w:t xml:space="preserve">Which unknown would most likely break the current design?</w:t>
      </w:r>
    </w:p>
    <w:bookmarkEnd w:id="22"/>
    <w:bookmarkStart w:id="23" w:name="next-improvement"/>
    <w:p>
      <w:pPr>
        <w:pStyle w:val="Heading3"/>
      </w:pPr>
      <w:r>
        <w:t xml:space="preserve">Next improvement</w:t>
      </w:r>
    </w:p>
    <w:p>
      <w:pPr>
        <w:pStyle w:val="FirstParagraph"/>
      </w:pPr>
      <w:r>
        <w:t xml:space="preserve">If you want, I can now help you</w:t>
      </w:r>
      <w:r>
        <w:t xml:space="preserve"> </w:t>
      </w:r>
      <w:r>
        <w:rPr>
          <w:b/>
          <w:bCs/>
        </w:rPr>
        <w:t xml:space="preserve">assemble the full Week 1 submission in order</w:t>
      </w:r>
      <w:r>
        <w:t xml:space="preserve"> </w:t>
      </w:r>
      <w:r>
        <w:t xml:space="preserve">and tighten wording so all four sections read as one coherent deliverable.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2026-04-21T17:22:49Z</dcterms:created>
  <dcterms:modified xsi:type="dcterms:W3CDTF">2026-04-21T17:22:49Z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