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C9560"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 xml:space="preserve">Below are (A) a </w:t>
      </w:r>
      <w:r w:rsidRPr="005646F2">
        <w:rPr>
          <w:rFonts w:ascii="Times New Roman" w:eastAsia="Times New Roman" w:hAnsi="Times New Roman" w:cs="Times New Roman"/>
          <w:b/>
          <w:bCs/>
          <w:kern w:val="0"/>
          <w14:ligatures w14:val="none"/>
        </w:rPr>
        <w:t>compressed 2-page appendix</w:t>
      </w:r>
      <w:r w:rsidRPr="005646F2">
        <w:rPr>
          <w:rFonts w:ascii="Times New Roman" w:eastAsia="Times New Roman" w:hAnsi="Times New Roman" w:cs="Times New Roman"/>
          <w:kern w:val="0"/>
          <w14:ligatures w14:val="none"/>
        </w:rPr>
        <w:t xml:space="preserve"> you can paste straight into an appeal bundle, and (B) a </w:t>
      </w:r>
      <w:r w:rsidRPr="005646F2">
        <w:rPr>
          <w:rFonts w:ascii="Times New Roman" w:eastAsia="Times New Roman" w:hAnsi="Times New Roman" w:cs="Times New Roman"/>
          <w:b/>
          <w:bCs/>
          <w:kern w:val="0"/>
          <w14:ligatures w14:val="none"/>
        </w:rPr>
        <w:t>detailed explanation of the legal flaw</w:t>
      </w:r>
      <w:r w:rsidRPr="005646F2">
        <w:rPr>
          <w:rFonts w:ascii="Times New Roman" w:eastAsia="Times New Roman" w:hAnsi="Times New Roman" w:cs="Times New Roman"/>
          <w:kern w:val="0"/>
          <w14:ligatures w14:val="none"/>
        </w:rPr>
        <w:t xml:space="preserve"> in the judge’s Coinbase reasoning.</w:t>
      </w:r>
    </w:p>
    <w:p w14:paraId="63CB388C" w14:textId="77777777" w:rsidR="005646F2" w:rsidRPr="005646F2" w:rsidRDefault="00EC3FAA" w:rsidP="005646F2">
      <w:pPr>
        <w:spacing w:after="0" w:line="240" w:lineRule="auto"/>
        <w:rPr>
          <w:rFonts w:ascii="Times New Roman" w:eastAsia="Times New Roman" w:hAnsi="Times New Roman" w:cs="Times New Roman"/>
          <w:kern w:val="0"/>
          <w14:ligatures w14:val="none"/>
        </w:rPr>
      </w:pPr>
      <w:r w:rsidRPr="00EC3FAA">
        <w:rPr>
          <w:rFonts w:ascii="Times New Roman" w:eastAsia="Times New Roman" w:hAnsi="Times New Roman" w:cs="Times New Roman"/>
          <w:noProof/>
          <w:kern w:val="0"/>
        </w:rPr>
        <w:pict w14:anchorId="46E65080">
          <v:rect id="_x0000_i1027" alt="" style="width:468pt;height:.05pt;mso-width-percent:0;mso-height-percent:0;mso-width-percent:0;mso-height-percent:0" o:hralign="center" o:hrstd="t" o:hr="t" fillcolor="#a0a0a0" stroked="f"/>
        </w:pict>
      </w:r>
    </w:p>
    <w:p w14:paraId="0645474D" w14:textId="77777777" w:rsidR="005646F2" w:rsidRPr="005646F2" w:rsidRDefault="005646F2" w:rsidP="005646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46F2">
        <w:rPr>
          <w:rFonts w:ascii="Times New Roman" w:eastAsia="Times New Roman" w:hAnsi="Times New Roman" w:cs="Times New Roman"/>
          <w:b/>
          <w:bCs/>
          <w:kern w:val="0"/>
          <w:sz w:val="36"/>
          <w:szCs w:val="36"/>
          <w14:ligatures w14:val="none"/>
        </w:rPr>
        <w:t>A. Appendix: Coinbase Findings Extract (Compressed – ~2 pages)</w:t>
      </w:r>
    </w:p>
    <w:p w14:paraId="2ACD12CA"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Case:</w:t>
      </w:r>
      <w:r w:rsidRPr="005646F2">
        <w:rPr>
          <w:rFonts w:ascii="Times New Roman" w:eastAsia="Times New Roman" w:hAnsi="Times New Roman" w:cs="Times New Roman"/>
          <w:kern w:val="0"/>
          <w14:ligatures w14:val="none"/>
        </w:rPr>
        <w:t xml:space="preserve"> BV20D01752 (Financial Remedies)</w:t>
      </w:r>
      <w:r w:rsidRPr="005646F2">
        <w:rPr>
          <w:rFonts w:ascii="Times New Roman" w:eastAsia="Times New Roman" w:hAnsi="Times New Roman" w:cs="Times New Roman"/>
          <w:kern w:val="0"/>
          <w14:ligatures w14:val="none"/>
        </w:rPr>
        <w:br/>
      </w:r>
      <w:r w:rsidRPr="005646F2">
        <w:rPr>
          <w:rFonts w:ascii="Times New Roman" w:eastAsia="Times New Roman" w:hAnsi="Times New Roman" w:cs="Times New Roman"/>
          <w:b/>
          <w:bCs/>
          <w:kern w:val="0"/>
          <w14:ligatures w14:val="none"/>
        </w:rPr>
        <w:t>Judgment:</w:t>
      </w:r>
      <w:r w:rsidRPr="005646F2">
        <w:rPr>
          <w:rFonts w:ascii="Times New Roman" w:eastAsia="Times New Roman" w:hAnsi="Times New Roman" w:cs="Times New Roman"/>
          <w:kern w:val="0"/>
          <w14:ligatures w14:val="none"/>
        </w:rPr>
        <w:t xml:space="preserve"> 18 April 2024 (MacDonald J)</w:t>
      </w:r>
      <w:r w:rsidRPr="005646F2">
        <w:rPr>
          <w:rFonts w:ascii="Times New Roman" w:eastAsia="Times New Roman" w:hAnsi="Times New Roman" w:cs="Times New Roman"/>
          <w:kern w:val="0"/>
          <w14:ligatures w14:val="none"/>
        </w:rPr>
        <w:br/>
      </w:r>
      <w:r w:rsidRPr="005646F2">
        <w:rPr>
          <w:rFonts w:ascii="Times New Roman" w:eastAsia="Times New Roman" w:hAnsi="Times New Roman" w:cs="Times New Roman"/>
          <w:b/>
          <w:bCs/>
          <w:kern w:val="0"/>
          <w14:ligatures w14:val="none"/>
        </w:rPr>
        <w:t>Asset:</w:t>
      </w:r>
      <w:r w:rsidRPr="005646F2">
        <w:rPr>
          <w:rFonts w:ascii="Times New Roman" w:eastAsia="Times New Roman" w:hAnsi="Times New Roman" w:cs="Times New Roman"/>
          <w:kern w:val="0"/>
          <w14:ligatures w14:val="none"/>
        </w:rPr>
        <w:t xml:space="preserve"> Topanga / Coinbase equity</w:t>
      </w:r>
    </w:p>
    <w:p w14:paraId="1856A39B" w14:textId="77777777" w:rsidR="005646F2" w:rsidRPr="005646F2" w:rsidRDefault="005646F2" w:rsidP="005646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46F2">
        <w:rPr>
          <w:rFonts w:ascii="Times New Roman" w:eastAsia="Times New Roman" w:hAnsi="Times New Roman" w:cs="Times New Roman"/>
          <w:b/>
          <w:bCs/>
          <w:kern w:val="0"/>
          <w:sz w:val="27"/>
          <w:szCs w:val="27"/>
          <w14:ligatures w14:val="none"/>
        </w:rPr>
        <w:t>A1. Core findings on the existence and materiality of the Coinbase asset</w:t>
      </w:r>
    </w:p>
    <w:p w14:paraId="4ECF2B14"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Finding / paragraph refs:</w:t>
      </w:r>
      <w:r w:rsidRPr="005646F2">
        <w:rPr>
          <w:rFonts w:ascii="Times New Roman" w:eastAsia="Times New Roman" w:hAnsi="Times New Roman" w:cs="Times New Roman"/>
          <w:kern w:val="0"/>
          <w14:ligatures w14:val="none"/>
        </w:rPr>
        <w:t xml:space="preserve"> paras 9, 33 (and tax provision paras 89(viii)(a), 108)</w:t>
      </w:r>
      <w:r w:rsidRPr="005646F2">
        <w:rPr>
          <w:rFonts w:ascii="Times New Roman" w:eastAsia="Times New Roman" w:hAnsi="Times New Roman" w:cs="Times New Roman"/>
          <w:kern w:val="0"/>
          <w14:ligatures w14:val="none"/>
        </w:rPr>
        <w:br/>
      </w:r>
      <w:r w:rsidRPr="005646F2">
        <w:rPr>
          <w:rFonts w:ascii="Times New Roman" w:eastAsia="Times New Roman" w:hAnsi="Times New Roman" w:cs="Times New Roman"/>
          <w:b/>
          <w:bCs/>
          <w:kern w:val="0"/>
          <w14:ligatures w14:val="none"/>
        </w:rPr>
        <w:t>What the judge decided:</w:t>
      </w:r>
      <w:r w:rsidRPr="005646F2">
        <w:rPr>
          <w:rFonts w:ascii="Times New Roman" w:eastAsia="Times New Roman" w:hAnsi="Times New Roman" w:cs="Times New Roman"/>
          <w:kern w:val="0"/>
          <w14:ligatures w14:val="none"/>
        </w:rPr>
        <w:t xml:space="preserve"> The Respondent’s Topanga holding ultimately comprised Coinbase equity; on flotation / distribution the holding was worth in the region of </w:t>
      </w:r>
      <w:r w:rsidRPr="005646F2">
        <w:rPr>
          <w:rFonts w:ascii="Times New Roman" w:eastAsia="Times New Roman" w:hAnsi="Times New Roman" w:cs="Times New Roman"/>
          <w:b/>
          <w:bCs/>
          <w:kern w:val="0"/>
          <w14:ligatures w14:val="none"/>
        </w:rPr>
        <w:t>$7m</w:t>
      </w:r>
      <w:r w:rsidRPr="005646F2">
        <w:rPr>
          <w:rFonts w:ascii="Times New Roman" w:eastAsia="Times New Roman" w:hAnsi="Times New Roman" w:cs="Times New Roman"/>
          <w:kern w:val="0"/>
          <w14:ligatures w14:val="none"/>
        </w:rPr>
        <w:t xml:space="preserve"> (figure recorded: </w:t>
      </w:r>
      <w:r w:rsidRPr="005646F2">
        <w:rPr>
          <w:rFonts w:ascii="Times New Roman" w:eastAsia="Times New Roman" w:hAnsi="Times New Roman" w:cs="Times New Roman"/>
          <w:b/>
          <w:bCs/>
          <w:kern w:val="0"/>
          <w14:ligatures w14:val="none"/>
        </w:rPr>
        <w:t>$7,059,188</w:t>
      </w:r>
      <w:r w:rsidRPr="005646F2">
        <w:rPr>
          <w:rFonts w:ascii="Times New Roman" w:eastAsia="Times New Roman" w:hAnsi="Times New Roman" w:cs="Times New Roman"/>
          <w:kern w:val="0"/>
          <w14:ligatures w14:val="none"/>
        </w:rPr>
        <w:t xml:space="preserve"> for </w:t>
      </w:r>
      <w:r w:rsidRPr="005646F2">
        <w:rPr>
          <w:rFonts w:ascii="Times New Roman" w:eastAsia="Times New Roman" w:hAnsi="Times New Roman" w:cs="Times New Roman"/>
          <w:b/>
          <w:bCs/>
          <w:kern w:val="0"/>
          <w14:ligatures w14:val="none"/>
        </w:rPr>
        <w:t>21,872</w:t>
      </w:r>
      <w:r w:rsidRPr="005646F2">
        <w:rPr>
          <w:rFonts w:ascii="Times New Roman" w:eastAsia="Times New Roman" w:hAnsi="Times New Roman" w:cs="Times New Roman"/>
          <w:kern w:val="0"/>
          <w14:ligatures w14:val="none"/>
        </w:rPr>
        <w:t xml:space="preserve"> shares). The judgment also makes provision to meet latent tax liabilities arising from the Coinbase windfall.</w:t>
      </w:r>
      <w:r w:rsidRPr="005646F2">
        <w:rPr>
          <w:rFonts w:ascii="Times New Roman" w:eastAsia="Times New Roman" w:hAnsi="Times New Roman" w:cs="Times New Roman"/>
          <w:kern w:val="0"/>
          <w14:ligatures w14:val="none"/>
        </w:rPr>
        <w:br/>
      </w:r>
      <w:r w:rsidRPr="005646F2">
        <w:rPr>
          <w:rFonts w:ascii="Times New Roman" w:eastAsia="Times New Roman" w:hAnsi="Times New Roman" w:cs="Times New Roman"/>
          <w:b/>
          <w:bCs/>
          <w:kern w:val="0"/>
          <w14:ligatures w14:val="none"/>
        </w:rPr>
        <w:t>Why he decided it:</w:t>
      </w:r>
      <w:r w:rsidRPr="005646F2">
        <w:rPr>
          <w:rFonts w:ascii="Times New Roman" w:eastAsia="Times New Roman" w:hAnsi="Times New Roman" w:cs="Times New Roman"/>
          <w:kern w:val="0"/>
          <w14:ligatures w14:val="none"/>
        </w:rPr>
        <w:t xml:space="preserve"> Documentary/evidential material as to the holding, share numbers, and value.</w:t>
      </w:r>
      <w:r w:rsidRPr="005646F2">
        <w:rPr>
          <w:rFonts w:ascii="Times New Roman" w:eastAsia="Times New Roman" w:hAnsi="Times New Roman" w:cs="Times New Roman"/>
          <w:kern w:val="0"/>
          <w14:ligatures w14:val="none"/>
        </w:rPr>
        <w:br/>
      </w:r>
      <w:r w:rsidRPr="005646F2">
        <w:rPr>
          <w:rFonts w:ascii="Times New Roman" w:eastAsia="Times New Roman" w:hAnsi="Times New Roman" w:cs="Times New Roman"/>
          <w:b/>
          <w:bCs/>
          <w:kern w:val="0"/>
          <w14:ligatures w14:val="none"/>
        </w:rPr>
        <w:t>Grounds linkage:</w:t>
      </w:r>
    </w:p>
    <w:p w14:paraId="7CB479D3" w14:textId="77777777" w:rsidR="005646F2" w:rsidRPr="005646F2" w:rsidRDefault="005646F2" w:rsidP="005646F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FR appeal:</w:t>
      </w:r>
      <w:r w:rsidRPr="005646F2">
        <w:rPr>
          <w:rFonts w:ascii="Times New Roman" w:eastAsia="Times New Roman" w:hAnsi="Times New Roman" w:cs="Times New Roman"/>
          <w:kern w:val="0"/>
          <w14:ligatures w14:val="none"/>
        </w:rPr>
        <w:t xml:space="preserve"> Coinbase is a </w:t>
      </w:r>
      <w:r w:rsidRPr="005646F2">
        <w:rPr>
          <w:rFonts w:ascii="Times New Roman" w:eastAsia="Times New Roman" w:hAnsi="Times New Roman" w:cs="Times New Roman"/>
          <w:b/>
          <w:bCs/>
          <w:kern w:val="0"/>
          <w14:ligatures w14:val="none"/>
        </w:rPr>
        <w:t>major asset</w:t>
      </w:r>
      <w:r w:rsidRPr="005646F2">
        <w:rPr>
          <w:rFonts w:ascii="Times New Roman" w:eastAsia="Times New Roman" w:hAnsi="Times New Roman" w:cs="Times New Roman"/>
          <w:kern w:val="0"/>
          <w14:ligatures w14:val="none"/>
        </w:rPr>
        <w:t>; seriousness/materiality is accepted.</w:t>
      </w:r>
    </w:p>
    <w:p w14:paraId="32B29282" w14:textId="77777777" w:rsidR="005646F2" w:rsidRPr="005646F2" w:rsidRDefault="005646F2" w:rsidP="005646F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Costs appeal:</w:t>
      </w:r>
      <w:r w:rsidRPr="005646F2">
        <w:rPr>
          <w:rFonts w:ascii="Times New Roman" w:eastAsia="Times New Roman" w:hAnsi="Times New Roman" w:cs="Times New Roman"/>
          <w:kern w:val="0"/>
          <w14:ligatures w14:val="none"/>
        </w:rPr>
        <w:t xml:space="preserve"> the asset’s scale makes disclosure issues objectively serious.</w:t>
      </w:r>
    </w:p>
    <w:p w14:paraId="07AB4CA3" w14:textId="77777777" w:rsidR="005646F2" w:rsidRPr="005646F2" w:rsidRDefault="005646F2" w:rsidP="005646F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JR narrative:</w:t>
      </w:r>
      <w:r w:rsidRPr="005646F2">
        <w:rPr>
          <w:rFonts w:ascii="Times New Roman" w:eastAsia="Times New Roman" w:hAnsi="Times New Roman" w:cs="Times New Roman"/>
          <w:kern w:val="0"/>
          <w14:ligatures w14:val="none"/>
        </w:rPr>
        <w:t xml:space="preserve"> shows materiality to effective participation and fairness.</w:t>
      </w:r>
    </w:p>
    <w:p w14:paraId="51A7C0A9" w14:textId="77777777" w:rsidR="005646F2" w:rsidRPr="005646F2" w:rsidRDefault="005646F2" w:rsidP="005646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46F2">
        <w:rPr>
          <w:rFonts w:ascii="Times New Roman" w:eastAsia="Times New Roman" w:hAnsi="Times New Roman" w:cs="Times New Roman"/>
          <w:b/>
          <w:bCs/>
          <w:kern w:val="0"/>
          <w:sz w:val="27"/>
          <w:szCs w:val="27"/>
          <w14:ligatures w14:val="none"/>
        </w:rPr>
        <w:t>A2. Form E and knowledge: nature/value not properly disclosed</w:t>
      </w:r>
    </w:p>
    <w:p w14:paraId="2B96FD1F"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Finding / paragraph refs:</w:t>
      </w:r>
      <w:r w:rsidRPr="005646F2">
        <w:rPr>
          <w:rFonts w:ascii="Times New Roman" w:eastAsia="Times New Roman" w:hAnsi="Times New Roman" w:cs="Times New Roman"/>
          <w:kern w:val="0"/>
          <w14:ligatures w14:val="none"/>
        </w:rPr>
        <w:t xml:space="preserve"> paras 28–29, 65</w:t>
      </w:r>
      <w:r w:rsidRPr="005646F2">
        <w:rPr>
          <w:rFonts w:ascii="Times New Roman" w:eastAsia="Times New Roman" w:hAnsi="Times New Roman" w:cs="Times New Roman"/>
          <w:kern w:val="0"/>
          <w14:ligatures w14:val="none"/>
        </w:rPr>
        <w:br/>
      </w:r>
      <w:r w:rsidRPr="005646F2">
        <w:rPr>
          <w:rFonts w:ascii="Times New Roman" w:eastAsia="Times New Roman" w:hAnsi="Times New Roman" w:cs="Times New Roman"/>
          <w:b/>
          <w:bCs/>
          <w:kern w:val="0"/>
          <w14:ligatures w14:val="none"/>
        </w:rPr>
        <w:t>What the judge decided:</w:t>
      </w:r>
      <w:r w:rsidRPr="005646F2">
        <w:rPr>
          <w:rFonts w:ascii="Times New Roman" w:eastAsia="Times New Roman" w:hAnsi="Times New Roman" w:cs="Times New Roman"/>
          <w:kern w:val="0"/>
          <w14:ligatures w14:val="none"/>
        </w:rPr>
        <w:t xml:space="preserve"> The Respondent’s Form E (March 2021) did not make clear the nature/value significance of Topanga/Coinbase in light of an anticipated listing; the Respondent conceded he was aware of listing discussions and </w:t>
      </w:r>
      <w:r w:rsidRPr="005646F2">
        <w:rPr>
          <w:rFonts w:ascii="Times New Roman" w:eastAsia="Times New Roman" w:hAnsi="Times New Roman" w:cs="Times New Roman"/>
          <w:b/>
          <w:bCs/>
          <w:kern w:val="0"/>
          <w14:ligatures w14:val="none"/>
        </w:rPr>
        <w:t>“should have included”</w:t>
      </w:r>
      <w:r w:rsidRPr="005646F2">
        <w:rPr>
          <w:rFonts w:ascii="Times New Roman" w:eastAsia="Times New Roman" w:hAnsi="Times New Roman" w:cs="Times New Roman"/>
          <w:kern w:val="0"/>
          <w14:ligatures w14:val="none"/>
        </w:rPr>
        <w:t xml:space="preserve"> this information.</w:t>
      </w:r>
      <w:r w:rsidRPr="005646F2">
        <w:rPr>
          <w:rFonts w:ascii="Times New Roman" w:eastAsia="Times New Roman" w:hAnsi="Times New Roman" w:cs="Times New Roman"/>
          <w:kern w:val="0"/>
          <w14:ligatures w14:val="none"/>
        </w:rPr>
        <w:br/>
      </w:r>
      <w:r w:rsidRPr="005646F2">
        <w:rPr>
          <w:rFonts w:ascii="Times New Roman" w:eastAsia="Times New Roman" w:hAnsi="Times New Roman" w:cs="Times New Roman"/>
          <w:b/>
          <w:bCs/>
          <w:kern w:val="0"/>
          <w14:ligatures w14:val="none"/>
        </w:rPr>
        <w:t>Why he decided it:</w:t>
      </w:r>
      <w:r w:rsidRPr="005646F2">
        <w:rPr>
          <w:rFonts w:ascii="Times New Roman" w:eastAsia="Times New Roman" w:hAnsi="Times New Roman" w:cs="Times New Roman"/>
          <w:kern w:val="0"/>
          <w14:ligatures w14:val="none"/>
        </w:rPr>
        <w:t xml:space="preserve"> Respondent’s own evidence / concessions.</w:t>
      </w:r>
      <w:r w:rsidRPr="005646F2">
        <w:rPr>
          <w:rFonts w:ascii="Times New Roman" w:eastAsia="Times New Roman" w:hAnsi="Times New Roman" w:cs="Times New Roman"/>
          <w:kern w:val="0"/>
          <w14:ligatures w14:val="none"/>
        </w:rPr>
        <w:br/>
      </w:r>
      <w:r w:rsidRPr="005646F2">
        <w:rPr>
          <w:rFonts w:ascii="Times New Roman" w:eastAsia="Times New Roman" w:hAnsi="Times New Roman" w:cs="Times New Roman"/>
          <w:b/>
          <w:bCs/>
          <w:kern w:val="0"/>
          <w14:ligatures w14:val="none"/>
        </w:rPr>
        <w:t>Grounds linkage:</w:t>
      </w:r>
    </w:p>
    <w:p w14:paraId="5A794D0D" w14:textId="77777777" w:rsidR="005646F2" w:rsidRPr="005646F2" w:rsidRDefault="005646F2" w:rsidP="005646F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FR appeal:</w:t>
      </w:r>
      <w:r w:rsidRPr="005646F2">
        <w:rPr>
          <w:rFonts w:ascii="Times New Roman" w:eastAsia="Times New Roman" w:hAnsi="Times New Roman" w:cs="Times New Roman"/>
          <w:kern w:val="0"/>
          <w14:ligatures w14:val="none"/>
        </w:rPr>
        <w:t xml:space="preserve"> engages the legal framework for </w:t>
      </w:r>
      <w:r w:rsidRPr="005646F2">
        <w:rPr>
          <w:rFonts w:ascii="Times New Roman" w:eastAsia="Times New Roman" w:hAnsi="Times New Roman" w:cs="Times New Roman"/>
          <w:b/>
          <w:bCs/>
          <w:kern w:val="0"/>
          <w14:ligatures w14:val="none"/>
        </w:rPr>
        <w:t>knowing misstatement/non-disclosure</w:t>
      </w:r>
      <w:r w:rsidRPr="005646F2">
        <w:rPr>
          <w:rFonts w:ascii="Times New Roman" w:eastAsia="Times New Roman" w:hAnsi="Times New Roman" w:cs="Times New Roman"/>
          <w:kern w:val="0"/>
          <w14:ligatures w14:val="none"/>
        </w:rPr>
        <w:t>, not a benign omission.</w:t>
      </w:r>
    </w:p>
    <w:p w14:paraId="7A8DCDCD" w14:textId="77777777" w:rsidR="005646F2" w:rsidRPr="005646F2" w:rsidRDefault="005646F2" w:rsidP="005646F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Costs appeal:</w:t>
      </w:r>
      <w:r w:rsidRPr="005646F2">
        <w:rPr>
          <w:rFonts w:ascii="Times New Roman" w:eastAsia="Times New Roman" w:hAnsi="Times New Roman" w:cs="Times New Roman"/>
          <w:kern w:val="0"/>
          <w14:ligatures w14:val="none"/>
        </w:rPr>
        <w:t xml:space="preserve"> validates Applicant’s concern and scrutiny.</w:t>
      </w:r>
    </w:p>
    <w:p w14:paraId="2D1D28C3" w14:textId="77777777" w:rsidR="005646F2" w:rsidRPr="005646F2" w:rsidRDefault="005646F2" w:rsidP="005646F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JR narrative:</w:t>
      </w:r>
      <w:r w:rsidRPr="005646F2">
        <w:rPr>
          <w:rFonts w:ascii="Times New Roman" w:eastAsia="Times New Roman" w:hAnsi="Times New Roman" w:cs="Times New Roman"/>
          <w:kern w:val="0"/>
          <w14:ligatures w14:val="none"/>
        </w:rPr>
        <w:t xml:space="preserve"> establishes informational imbalance at a critical stage.</w:t>
      </w:r>
    </w:p>
    <w:p w14:paraId="52B17AE9" w14:textId="77777777" w:rsidR="005646F2" w:rsidRPr="005646F2" w:rsidRDefault="005646F2" w:rsidP="005646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46F2">
        <w:rPr>
          <w:rFonts w:ascii="Times New Roman" w:eastAsia="Times New Roman" w:hAnsi="Times New Roman" w:cs="Times New Roman"/>
          <w:b/>
          <w:bCs/>
          <w:kern w:val="0"/>
          <w:sz w:val="27"/>
          <w:szCs w:val="27"/>
          <w14:ligatures w14:val="none"/>
        </w:rPr>
        <w:t>A3. Timing: disclosure of the April 2021 uplift came late</w:t>
      </w:r>
    </w:p>
    <w:p w14:paraId="7DC50DB7"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Finding / paragraph refs:</w:t>
      </w:r>
      <w:r w:rsidRPr="005646F2">
        <w:rPr>
          <w:rFonts w:ascii="Times New Roman" w:eastAsia="Times New Roman" w:hAnsi="Times New Roman" w:cs="Times New Roman"/>
          <w:kern w:val="0"/>
          <w14:ligatures w14:val="none"/>
        </w:rPr>
        <w:t xml:space="preserve"> paras 35, 65–66</w:t>
      </w:r>
      <w:r w:rsidRPr="005646F2">
        <w:rPr>
          <w:rFonts w:ascii="Times New Roman" w:eastAsia="Times New Roman" w:hAnsi="Times New Roman" w:cs="Times New Roman"/>
          <w:kern w:val="0"/>
          <w14:ligatures w14:val="none"/>
        </w:rPr>
        <w:br/>
      </w:r>
      <w:r w:rsidRPr="005646F2">
        <w:rPr>
          <w:rFonts w:ascii="Times New Roman" w:eastAsia="Times New Roman" w:hAnsi="Times New Roman" w:cs="Times New Roman"/>
          <w:b/>
          <w:bCs/>
          <w:kern w:val="0"/>
          <w14:ligatures w14:val="none"/>
        </w:rPr>
        <w:t>What the judge decided:</w:t>
      </w:r>
      <w:r w:rsidRPr="005646F2">
        <w:rPr>
          <w:rFonts w:ascii="Times New Roman" w:eastAsia="Times New Roman" w:hAnsi="Times New Roman" w:cs="Times New Roman"/>
          <w:kern w:val="0"/>
          <w14:ligatures w14:val="none"/>
        </w:rPr>
        <w:t xml:space="preserve"> The Applicant was not informed of the flotation/uplift on or around </w:t>
      </w:r>
      <w:r w:rsidRPr="005646F2">
        <w:rPr>
          <w:rFonts w:ascii="Times New Roman" w:eastAsia="Times New Roman" w:hAnsi="Times New Roman" w:cs="Times New Roman"/>
          <w:b/>
          <w:bCs/>
          <w:kern w:val="0"/>
          <w14:ligatures w14:val="none"/>
        </w:rPr>
        <w:t xml:space="preserve">14 </w:t>
      </w:r>
      <w:r w:rsidRPr="005646F2">
        <w:rPr>
          <w:rFonts w:ascii="Times New Roman" w:eastAsia="Times New Roman" w:hAnsi="Times New Roman" w:cs="Times New Roman"/>
          <w:b/>
          <w:bCs/>
          <w:kern w:val="0"/>
          <w14:ligatures w14:val="none"/>
        </w:rPr>
        <w:lastRenderedPageBreak/>
        <w:t>April 2021</w:t>
      </w:r>
      <w:r w:rsidRPr="005646F2">
        <w:rPr>
          <w:rFonts w:ascii="Times New Roman" w:eastAsia="Times New Roman" w:hAnsi="Times New Roman" w:cs="Times New Roman"/>
          <w:kern w:val="0"/>
          <w14:ligatures w14:val="none"/>
        </w:rPr>
        <w:t xml:space="preserve">, but was informed on </w:t>
      </w:r>
      <w:r w:rsidRPr="005646F2">
        <w:rPr>
          <w:rFonts w:ascii="Times New Roman" w:eastAsia="Times New Roman" w:hAnsi="Times New Roman" w:cs="Times New Roman"/>
          <w:b/>
          <w:bCs/>
          <w:kern w:val="0"/>
          <w14:ligatures w14:val="none"/>
        </w:rPr>
        <w:t>16 July 2021</w:t>
      </w:r>
      <w:r w:rsidRPr="005646F2">
        <w:rPr>
          <w:rFonts w:ascii="Times New Roman" w:eastAsia="Times New Roman" w:hAnsi="Times New Roman" w:cs="Times New Roman"/>
          <w:kern w:val="0"/>
          <w14:ligatures w14:val="none"/>
        </w:rPr>
        <w:t xml:space="preserve"> (shortly before the FDR).</w:t>
      </w:r>
      <w:r w:rsidRPr="005646F2">
        <w:rPr>
          <w:rFonts w:ascii="Times New Roman" w:eastAsia="Times New Roman" w:hAnsi="Times New Roman" w:cs="Times New Roman"/>
          <w:kern w:val="0"/>
          <w14:ligatures w14:val="none"/>
        </w:rPr>
        <w:br/>
      </w:r>
      <w:r w:rsidRPr="005646F2">
        <w:rPr>
          <w:rFonts w:ascii="Times New Roman" w:eastAsia="Times New Roman" w:hAnsi="Times New Roman" w:cs="Times New Roman"/>
          <w:b/>
          <w:bCs/>
          <w:kern w:val="0"/>
          <w14:ligatures w14:val="none"/>
        </w:rPr>
        <w:t>Why he decided it:</w:t>
      </w:r>
      <w:r w:rsidRPr="005646F2">
        <w:rPr>
          <w:rFonts w:ascii="Times New Roman" w:eastAsia="Times New Roman" w:hAnsi="Times New Roman" w:cs="Times New Roman"/>
          <w:kern w:val="0"/>
          <w14:ligatures w14:val="none"/>
        </w:rPr>
        <w:t xml:space="preserve"> Chronology/communications.</w:t>
      </w:r>
      <w:r w:rsidRPr="005646F2">
        <w:rPr>
          <w:rFonts w:ascii="Times New Roman" w:eastAsia="Times New Roman" w:hAnsi="Times New Roman" w:cs="Times New Roman"/>
          <w:kern w:val="0"/>
          <w14:ligatures w14:val="none"/>
        </w:rPr>
        <w:br/>
      </w:r>
      <w:r w:rsidRPr="005646F2">
        <w:rPr>
          <w:rFonts w:ascii="Times New Roman" w:eastAsia="Times New Roman" w:hAnsi="Times New Roman" w:cs="Times New Roman"/>
          <w:b/>
          <w:bCs/>
          <w:kern w:val="0"/>
          <w14:ligatures w14:val="none"/>
        </w:rPr>
        <w:t>Grounds linkage:</w:t>
      </w:r>
    </w:p>
    <w:p w14:paraId="0BAC13DA" w14:textId="77777777" w:rsidR="005646F2" w:rsidRPr="005646F2" w:rsidRDefault="005646F2" w:rsidP="005646F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FR appeal:</w:t>
      </w:r>
      <w:r w:rsidRPr="005646F2">
        <w:rPr>
          <w:rFonts w:ascii="Times New Roman" w:eastAsia="Times New Roman" w:hAnsi="Times New Roman" w:cs="Times New Roman"/>
          <w:kern w:val="0"/>
          <w14:ligatures w14:val="none"/>
        </w:rPr>
        <w:t xml:space="preserve"> raises whether later disclosure can “cure” an earlier knowing misstatement and distortion of negotiation.</w:t>
      </w:r>
    </w:p>
    <w:p w14:paraId="63825B19" w14:textId="77777777" w:rsidR="005646F2" w:rsidRPr="005646F2" w:rsidRDefault="005646F2" w:rsidP="005646F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Costs appeal:</w:t>
      </w:r>
      <w:r w:rsidRPr="005646F2">
        <w:rPr>
          <w:rFonts w:ascii="Times New Roman" w:eastAsia="Times New Roman" w:hAnsi="Times New Roman" w:cs="Times New Roman"/>
          <w:kern w:val="0"/>
          <w14:ligatures w14:val="none"/>
        </w:rPr>
        <w:t xml:space="preserve"> supports reasonableness of Applicant’s loss of trust and need for enquiry.</w:t>
      </w:r>
    </w:p>
    <w:p w14:paraId="1AEDC42C" w14:textId="77777777" w:rsidR="005646F2" w:rsidRPr="005646F2" w:rsidRDefault="005646F2" w:rsidP="005646F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JR narrative:</w:t>
      </w:r>
      <w:r w:rsidRPr="005646F2">
        <w:rPr>
          <w:rFonts w:ascii="Times New Roman" w:eastAsia="Times New Roman" w:hAnsi="Times New Roman" w:cs="Times New Roman"/>
          <w:kern w:val="0"/>
          <w14:ligatures w14:val="none"/>
        </w:rPr>
        <w:t xml:space="preserve"> demonstrates procedural disadvantage during a pivotal settlement phase.</w:t>
      </w:r>
    </w:p>
    <w:p w14:paraId="2E8B89A7" w14:textId="77777777" w:rsidR="005646F2" w:rsidRPr="005646F2" w:rsidRDefault="005646F2" w:rsidP="005646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46F2">
        <w:rPr>
          <w:rFonts w:ascii="Times New Roman" w:eastAsia="Times New Roman" w:hAnsi="Times New Roman" w:cs="Times New Roman"/>
          <w:b/>
          <w:bCs/>
          <w:kern w:val="0"/>
          <w:sz w:val="27"/>
          <w:szCs w:val="27"/>
          <w14:ligatures w14:val="none"/>
        </w:rPr>
        <w:t>A4. Characterisation: “late disclosure”, not egregious non-disclosure</w:t>
      </w:r>
    </w:p>
    <w:p w14:paraId="3A2C91F4"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Finding / paragraph ref:</w:t>
      </w:r>
      <w:r w:rsidRPr="005646F2">
        <w:rPr>
          <w:rFonts w:ascii="Times New Roman" w:eastAsia="Times New Roman" w:hAnsi="Times New Roman" w:cs="Times New Roman"/>
          <w:kern w:val="0"/>
          <w14:ligatures w14:val="none"/>
        </w:rPr>
        <w:t xml:space="preserve"> para 66</w:t>
      </w:r>
      <w:r w:rsidRPr="005646F2">
        <w:rPr>
          <w:rFonts w:ascii="Times New Roman" w:eastAsia="Times New Roman" w:hAnsi="Times New Roman" w:cs="Times New Roman"/>
          <w:kern w:val="0"/>
          <w14:ligatures w14:val="none"/>
        </w:rPr>
        <w:br/>
      </w:r>
      <w:r w:rsidRPr="005646F2">
        <w:rPr>
          <w:rFonts w:ascii="Times New Roman" w:eastAsia="Times New Roman" w:hAnsi="Times New Roman" w:cs="Times New Roman"/>
          <w:b/>
          <w:bCs/>
          <w:kern w:val="0"/>
          <w14:ligatures w14:val="none"/>
        </w:rPr>
        <w:t>What the judge decided:</w:t>
      </w:r>
      <w:r w:rsidRPr="005646F2">
        <w:rPr>
          <w:rFonts w:ascii="Times New Roman" w:eastAsia="Times New Roman" w:hAnsi="Times New Roman" w:cs="Times New Roman"/>
          <w:kern w:val="0"/>
          <w14:ligatures w14:val="none"/>
        </w:rPr>
        <w:t xml:space="preserve"> The Respondent’s Coinbase conduct was characterised as </w:t>
      </w:r>
      <w:r w:rsidRPr="005646F2">
        <w:rPr>
          <w:rFonts w:ascii="Times New Roman" w:eastAsia="Times New Roman" w:hAnsi="Times New Roman" w:cs="Times New Roman"/>
          <w:b/>
          <w:bCs/>
          <w:kern w:val="0"/>
          <w14:ligatures w14:val="none"/>
        </w:rPr>
        <w:t>“inappropriately late disclosure”</w:t>
      </w:r>
      <w:r w:rsidRPr="005646F2">
        <w:rPr>
          <w:rFonts w:ascii="Times New Roman" w:eastAsia="Times New Roman" w:hAnsi="Times New Roman" w:cs="Times New Roman"/>
          <w:kern w:val="0"/>
          <w14:ligatures w14:val="none"/>
        </w:rPr>
        <w:t xml:space="preserve"> but </w:t>
      </w:r>
      <w:r w:rsidRPr="005646F2">
        <w:rPr>
          <w:rFonts w:ascii="Times New Roman" w:eastAsia="Times New Roman" w:hAnsi="Times New Roman" w:cs="Times New Roman"/>
          <w:b/>
          <w:bCs/>
          <w:kern w:val="0"/>
          <w14:ligatures w14:val="none"/>
        </w:rPr>
        <w:t>not</w:t>
      </w:r>
      <w:r w:rsidRPr="005646F2">
        <w:rPr>
          <w:rFonts w:ascii="Times New Roman" w:eastAsia="Times New Roman" w:hAnsi="Times New Roman" w:cs="Times New Roman"/>
          <w:kern w:val="0"/>
          <w14:ligatures w14:val="none"/>
        </w:rPr>
        <w:t xml:space="preserve"> “egregious non-disclosure”.</w:t>
      </w:r>
      <w:r w:rsidRPr="005646F2">
        <w:rPr>
          <w:rFonts w:ascii="Times New Roman" w:eastAsia="Times New Roman" w:hAnsi="Times New Roman" w:cs="Times New Roman"/>
          <w:kern w:val="0"/>
          <w14:ligatures w14:val="none"/>
        </w:rPr>
        <w:br/>
      </w:r>
      <w:r w:rsidRPr="005646F2">
        <w:rPr>
          <w:rFonts w:ascii="Times New Roman" w:eastAsia="Times New Roman" w:hAnsi="Times New Roman" w:cs="Times New Roman"/>
          <w:b/>
          <w:bCs/>
          <w:kern w:val="0"/>
          <w14:ligatures w14:val="none"/>
        </w:rPr>
        <w:t>Why he decided it:</w:t>
      </w:r>
      <w:r w:rsidRPr="005646F2">
        <w:rPr>
          <w:rFonts w:ascii="Times New Roman" w:eastAsia="Times New Roman" w:hAnsi="Times New Roman" w:cs="Times New Roman"/>
          <w:kern w:val="0"/>
          <w14:ligatures w14:val="none"/>
        </w:rPr>
        <w:t xml:space="preserve"> The judgment reasons (in substance) that because the increased value was disclosed before the FDR and taken into account thereafter, the earlier failure did not amount to egregious non-disclosure.</w:t>
      </w:r>
      <w:r w:rsidRPr="005646F2">
        <w:rPr>
          <w:rFonts w:ascii="Times New Roman" w:eastAsia="Times New Roman" w:hAnsi="Times New Roman" w:cs="Times New Roman"/>
          <w:kern w:val="0"/>
          <w14:ligatures w14:val="none"/>
        </w:rPr>
        <w:br/>
      </w:r>
      <w:r w:rsidRPr="005646F2">
        <w:rPr>
          <w:rFonts w:ascii="Times New Roman" w:eastAsia="Times New Roman" w:hAnsi="Times New Roman" w:cs="Times New Roman"/>
          <w:b/>
          <w:bCs/>
          <w:kern w:val="0"/>
          <w14:ligatures w14:val="none"/>
        </w:rPr>
        <w:t>Grounds linkage:</w:t>
      </w:r>
    </w:p>
    <w:p w14:paraId="5AE7FFA7" w14:textId="77777777" w:rsidR="005646F2" w:rsidRPr="005646F2" w:rsidRDefault="005646F2" w:rsidP="005646F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FR appeal:</w:t>
      </w:r>
      <w:r w:rsidRPr="005646F2">
        <w:rPr>
          <w:rFonts w:ascii="Times New Roman" w:eastAsia="Times New Roman" w:hAnsi="Times New Roman" w:cs="Times New Roman"/>
          <w:kern w:val="0"/>
          <w14:ligatures w14:val="none"/>
        </w:rPr>
        <w:t xml:space="preserve"> (i) </w:t>
      </w:r>
      <w:r w:rsidRPr="005646F2">
        <w:rPr>
          <w:rFonts w:ascii="Times New Roman" w:eastAsia="Times New Roman" w:hAnsi="Times New Roman" w:cs="Times New Roman"/>
          <w:b/>
          <w:bCs/>
          <w:kern w:val="0"/>
          <w14:ligatures w14:val="none"/>
        </w:rPr>
        <w:t>error of characterisation</w:t>
      </w:r>
      <w:r w:rsidRPr="005646F2">
        <w:rPr>
          <w:rFonts w:ascii="Times New Roman" w:eastAsia="Times New Roman" w:hAnsi="Times New Roman" w:cs="Times New Roman"/>
          <w:kern w:val="0"/>
          <w14:ligatures w14:val="none"/>
        </w:rPr>
        <w:t xml:space="preserve"> (intent/legal duty not engaged), (ii) </w:t>
      </w:r>
      <w:r w:rsidRPr="005646F2">
        <w:rPr>
          <w:rFonts w:ascii="Times New Roman" w:eastAsia="Times New Roman" w:hAnsi="Times New Roman" w:cs="Times New Roman"/>
          <w:b/>
          <w:bCs/>
          <w:kern w:val="0"/>
          <w14:ligatures w14:val="none"/>
        </w:rPr>
        <w:t>inadequate reasons</w:t>
      </w:r>
      <w:r w:rsidRPr="005646F2">
        <w:rPr>
          <w:rFonts w:ascii="Times New Roman" w:eastAsia="Times New Roman" w:hAnsi="Times New Roman" w:cs="Times New Roman"/>
          <w:kern w:val="0"/>
          <w14:ligatures w14:val="none"/>
        </w:rPr>
        <w:t xml:space="preserve">, (iii) </w:t>
      </w:r>
      <w:r w:rsidRPr="005646F2">
        <w:rPr>
          <w:rFonts w:ascii="Times New Roman" w:eastAsia="Times New Roman" w:hAnsi="Times New Roman" w:cs="Times New Roman"/>
          <w:b/>
          <w:bCs/>
          <w:kern w:val="0"/>
          <w14:ligatures w14:val="none"/>
        </w:rPr>
        <w:t>irrationality</w:t>
      </w:r>
      <w:r w:rsidRPr="005646F2">
        <w:rPr>
          <w:rFonts w:ascii="Times New Roman" w:eastAsia="Times New Roman" w:hAnsi="Times New Roman" w:cs="Times New Roman"/>
          <w:kern w:val="0"/>
          <w14:ligatures w14:val="none"/>
        </w:rPr>
        <w:t xml:space="preserve"> in treating timing as curative of a knowing misstatement.</w:t>
      </w:r>
    </w:p>
    <w:p w14:paraId="1147847C" w14:textId="77777777" w:rsidR="005646F2" w:rsidRPr="005646F2" w:rsidRDefault="005646F2" w:rsidP="005646F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Costs appeal:</w:t>
      </w:r>
      <w:r w:rsidRPr="005646F2">
        <w:rPr>
          <w:rFonts w:ascii="Times New Roman" w:eastAsia="Times New Roman" w:hAnsi="Times New Roman" w:cs="Times New Roman"/>
          <w:kern w:val="0"/>
          <w14:ligatures w14:val="none"/>
        </w:rPr>
        <w:t xml:space="preserve"> minimisation of the breach skews the appraisal of Applicant conduct and costs consequences.</w:t>
      </w:r>
    </w:p>
    <w:p w14:paraId="7FB24237" w14:textId="77777777" w:rsidR="005646F2" w:rsidRPr="005646F2" w:rsidRDefault="005646F2" w:rsidP="005646F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JR narrative:</w:t>
      </w:r>
      <w:r w:rsidRPr="005646F2">
        <w:rPr>
          <w:rFonts w:ascii="Times New Roman" w:eastAsia="Times New Roman" w:hAnsi="Times New Roman" w:cs="Times New Roman"/>
          <w:kern w:val="0"/>
          <w14:ligatures w14:val="none"/>
        </w:rPr>
        <w:t xml:space="preserve"> demonstrates failure to apply the correct legal test, undermining procedural integrity.</w:t>
      </w:r>
    </w:p>
    <w:p w14:paraId="74A32885" w14:textId="77777777" w:rsidR="005646F2" w:rsidRPr="005646F2" w:rsidRDefault="005646F2" w:rsidP="005646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46F2">
        <w:rPr>
          <w:rFonts w:ascii="Times New Roman" w:eastAsia="Times New Roman" w:hAnsi="Times New Roman" w:cs="Times New Roman"/>
          <w:b/>
          <w:bCs/>
          <w:kern w:val="0"/>
          <w:sz w:val="27"/>
          <w:szCs w:val="27"/>
          <w14:ligatures w14:val="none"/>
        </w:rPr>
        <w:t>A5. Judge accepts Applicant concern was legitimate</w:t>
      </w:r>
    </w:p>
    <w:p w14:paraId="32566FC7"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Finding / paragraph ref:</w:t>
      </w:r>
      <w:r w:rsidRPr="005646F2">
        <w:rPr>
          <w:rFonts w:ascii="Times New Roman" w:eastAsia="Times New Roman" w:hAnsi="Times New Roman" w:cs="Times New Roman"/>
          <w:kern w:val="0"/>
          <w14:ligatures w14:val="none"/>
        </w:rPr>
        <w:t xml:space="preserve"> para 80</w:t>
      </w:r>
      <w:r w:rsidRPr="005646F2">
        <w:rPr>
          <w:rFonts w:ascii="Times New Roman" w:eastAsia="Times New Roman" w:hAnsi="Times New Roman" w:cs="Times New Roman"/>
          <w:kern w:val="0"/>
          <w14:ligatures w14:val="none"/>
        </w:rPr>
        <w:br/>
      </w:r>
      <w:r w:rsidRPr="005646F2">
        <w:rPr>
          <w:rFonts w:ascii="Times New Roman" w:eastAsia="Times New Roman" w:hAnsi="Times New Roman" w:cs="Times New Roman"/>
          <w:b/>
          <w:bCs/>
          <w:kern w:val="0"/>
          <w14:ligatures w14:val="none"/>
        </w:rPr>
        <w:t>What the judge decided:</w:t>
      </w:r>
      <w:r w:rsidRPr="005646F2">
        <w:rPr>
          <w:rFonts w:ascii="Times New Roman" w:eastAsia="Times New Roman" w:hAnsi="Times New Roman" w:cs="Times New Roman"/>
          <w:kern w:val="0"/>
          <w14:ligatures w14:val="none"/>
        </w:rPr>
        <w:t xml:space="preserve"> The late disclosure legitimately caused concern and it was reasonable for the Applicant to seek further information at that stage.</w:t>
      </w:r>
      <w:r w:rsidRPr="005646F2">
        <w:rPr>
          <w:rFonts w:ascii="Times New Roman" w:eastAsia="Times New Roman" w:hAnsi="Times New Roman" w:cs="Times New Roman"/>
          <w:kern w:val="0"/>
          <w14:ligatures w14:val="none"/>
        </w:rPr>
        <w:br/>
      </w:r>
      <w:r w:rsidRPr="005646F2">
        <w:rPr>
          <w:rFonts w:ascii="Times New Roman" w:eastAsia="Times New Roman" w:hAnsi="Times New Roman" w:cs="Times New Roman"/>
          <w:b/>
          <w:bCs/>
          <w:kern w:val="0"/>
          <w14:ligatures w14:val="none"/>
        </w:rPr>
        <w:t>Why he decided it:</w:t>
      </w:r>
      <w:r w:rsidRPr="005646F2">
        <w:rPr>
          <w:rFonts w:ascii="Times New Roman" w:eastAsia="Times New Roman" w:hAnsi="Times New Roman" w:cs="Times New Roman"/>
          <w:kern w:val="0"/>
          <w14:ligatures w14:val="none"/>
        </w:rPr>
        <w:t xml:space="preserve"> Scale + manner/timing of disclosure.</w:t>
      </w:r>
      <w:r w:rsidRPr="005646F2">
        <w:rPr>
          <w:rFonts w:ascii="Times New Roman" w:eastAsia="Times New Roman" w:hAnsi="Times New Roman" w:cs="Times New Roman"/>
          <w:kern w:val="0"/>
          <w14:ligatures w14:val="none"/>
        </w:rPr>
        <w:br/>
      </w:r>
      <w:r w:rsidRPr="005646F2">
        <w:rPr>
          <w:rFonts w:ascii="Times New Roman" w:eastAsia="Times New Roman" w:hAnsi="Times New Roman" w:cs="Times New Roman"/>
          <w:b/>
          <w:bCs/>
          <w:kern w:val="0"/>
          <w14:ligatures w14:val="none"/>
        </w:rPr>
        <w:t>Grounds linkage:</w:t>
      </w:r>
    </w:p>
    <w:p w14:paraId="390AE9B4" w14:textId="77777777" w:rsidR="005646F2" w:rsidRPr="005646F2" w:rsidRDefault="005646F2" w:rsidP="005646F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FR appeal / costs appeal:</w:t>
      </w:r>
      <w:r w:rsidRPr="005646F2">
        <w:rPr>
          <w:rFonts w:ascii="Times New Roman" w:eastAsia="Times New Roman" w:hAnsi="Times New Roman" w:cs="Times New Roman"/>
          <w:kern w:val="0"/>
          <w14:ligatures w14:val="none"/>
        </w:rPr>
        <w:t xml:space="preserve"> supports Applicant’s reasonableness and undermines adverse conduct framing.</w:t>
      </w:r>
    </w:p>
    <w:p w14:paraId="72B47202" w14:textId="77777777" w:rsidR="005646F2" w:rsidRPr="005646F2" w:rsidRDefault="005646F2" w:rsidP="005646F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JR narrative:</w:t>
      </w:r>
      <w:r w:rsidRPr="005646F2">
        <w:rPr>
          <w:rFonts w:ascii="Times New Roman" w:eastAsia="Times New Roman" w:hAnsi="Times New Roman" w:cs="Times New Roman"/>
          <w:kern w:val="0"/>
          <w14:ligatures w14:val="none"/>
        </w:rPr>
        <w:t xml:space="preserve"> reinforces that steps taken by Applicant were rational responses to serious disclosure defects.</w:t>
      </w:r>
    </w:p>
    <w:p w14:paraId="0F86ABD8" w14:textId="77777777" w:rsidR="005646F2" w:rsidRPr="005646F2" w:rsidRDefault="005646F2" w:rsidP="005646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46F2">
        <w:rPr>
          <w:rFonts w:ascii="Times New Roman" w:eastAsia="Times New Roman" w:hAnsi="Times New Roman" w:cs="Times New Roman"/>
          <w:b/>
          <w:bCs/>
          <w:kern w:val="0"/>
          <w:sz w:val="27"/>
          <w:szCs w:val="27"/>
          <w14:ligatures w14:val="none"/>
        </w:rPr>
        <w:t>A6. Wider inference rejected; ES2 broadly accepted</w:t>
      </w:r>
    </w:p>
    <w:p w14:paraId="3C7B2D59"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Finding / paragraph refs:</w:t>
      </w:r>
      <w:r w:rsidRPr="005646F2">
        <w:rPr>
          <w:rFonts w:ascii="Times New Roman" w:eastAsia="Times New Roman" w:hAnsi="Times New Roman" w:cs="Times New Roman"/>
          <w:kern w:val="0"/>
          <w14:ligatures w14:val="none"/>
        </w:rPr>
        <w:t xml:space="preserve"> paras 63, 72–76</w:t>
      </w:r>
      <w:r w:rsidRPr="005646F2">
        <w:rPr>
          <w:rFonts w:ascii="Times New Roman" w:eastAsia="Times New Roman" w:hAnsi="Times New Roman" w:cs="Times New Roman"/>
          <w:kern w:val="0"/>
          <w14:ligatures w14:val="none"/>
        </w:rPr>
        <w:br/>
      </w:r>
      <w:r w:rsidRPr="005646F2">
        <w:rPr>
          <w:rFonts w:ascii="Times New Roman" w:eastAsia="Times New Roman" w:hAnsi="Times New Roman" w:cs="Times New Roman"/>
          <w:b/>
          <w:bCs/>
          <w:kern w:val="0"/>
          <w14:ligatures w14:val="none"/>
        </w:rPr>
        <w:t>What the judge decided:</w:t>
      </w:r>
      <w:r w:rsidRPr="005646F2">
        <w:rPr>
          <w:rFonts w:ascii="Times New Roman" w:eastAsia="Times New Roman" w:hAnsi="Times New Roman" w:cs="Times New Roman"/>
          <w:kern w:val="0"/>
          <w14:ligatures w14:val="none"/>
        </w:rPr>
        <w:t xml:space="preserve"> The court rejected the contention that Coinbase justified broader inferences of very large undisclosed assets; ES2 was broadly accepted.</w:t>
      </w:r>
      <w:r w:rsidRPr="005646F2">
        <w:rPr>
          <w:rFonts w:ascii="Times New Roman" w:eastAsia="Times New Roman" w:hAnsi="Times New Roman" w:cs="Times New Roman"/>
          <w:kern w:val="0"/>
          <w14:ligatures w14:val="none"/>
        </w:rPr>
        <w:br/>
      </w:r>
      <w:r w:rsidRPr="005646F2">
        <w:rPr>
          <w:rFonts w:ascii="Times New Roman" w:eastAsia="Times New Roman" w:hAnsi="Times New Roman" w:cs="Times New Roman"/>
          <w:b/>
          <w:bCs/>
          <w:kern w:val="0"/>
          <w14:ligatures w14:val="none"/>
        </w:rPr>
        <w:t>Why he decided it:</w:t>
      </w:r>
      <w:r w:rsidRPr="005646F2">
        <w:rPr>
          <w:rFonts w:ascii="Times New Roman" w:eastAsia="Times New Roman" w:hAnsi="Times New Roman" w:cs="Times New Roman"/>
          <w:kern w:val="0"/>
          <w14:ligatures w14:val="none"/>
        </w:rPr>
        <w:t xml:space="preserve"> Insufficient foundation for extrapolation.</w:t>
      </w:r>
      <w:r w:rsidRPr="005646F2">
        <w:rPr>
          <w:rFonts w:ascii="Times New Roman" w:eastAsia="Times New Roman" w:hAnsi="Times New Roman" w:cs="Times New Roman"/>
          <w:kern w:val="0"/>
          <w14:ligatures w14:val="none"/>
        </w:rPr>
        <w:br/>
      </w:r>
      <w:r w:rsidRPr="005646F2">
        <w:rPr>
          <w:rFonts w:ascii="Times New Roman" w:eastAsia="Times New Roman" w:hAnsi="Times New Roman" w:cs="Times New Roman"/>
          <w:b/>
          <w:bCs/>
          <w:kern w:val="0"/>
          <w14:ligatures w14:val="none"/>
        </w:rPr>
        <w:t>Grounds linkage:</w:t>
      </w:r>
    </w:p>
    <w:p w14:paraId="5C878BCB" w14:textId="77777777" w:rsidR="005646F2" w:rsidRPr="005646F2" w:rsidRDefault="005646F2" w:rsidP="005646F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lastRenderedPageBreak/>
        <w:t>FR appeal:</w:t>
      </w:r>
      <w:r w:rsidRPr="005646F2">
        <w:rPr>
          <w:rFonts w:ascii="Times New Roman" w:eastAsia="Times New Roman" w:hAnsi="Times New Roman" w:cs="Times New Roman"/>
          <w:kern w:val="0"/>
          <w14:ligatures w14:val="none"/>
        </w:rPr>
        <w:t xml:space="preserve"> failure to explain why a proven serious disclosure defect does not undermine overall credibility (or how it is safely contained).</w:t>
      </w:r>
    </w:p>
    <w:p w14:paraId="570ACA21" w14:textId="77777777" w:rsidR="005646F2" w:rsidRPr="005646F2" w:rsidRDefault="005646F2" w:rsidP="005646F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Costs appeal:</w:t>
      </w:r>
      <w:r w:rsidRPr="005646F2">
        <w:rPr>
          <w:rFonts w:ascii="Times New Roman" w:eastAsia="Times New Roman" w:hAnsi="Times New Roman" w:cs="Times New Roman"/>
          <w:kern w:val="0"/>
          <w14:ligatures w14:val="none"/>
        </w:rPr>
        <w:t xml:space="preserve"> containment reasoning feeds into a harsher view of Applicant conduct.</w:t>
      </w:r>
    </w:p>
    <w:p w14:paraId="53F93698" w14:textId="77777777" w:rsidR="005646F2" w:rsidRPr="005646F2" w:rsidRDefault="005646F2" w:rsidP="005646F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JR narrative:</w:t>
      </w:r>
      <w:r w:rsidRPr="005646F2">
        <w:rPr>
          <w:rFonts w:ascii="Times New Roman" w:eastAsia="Times New Roman" w:hAnsi="Times New Roman" w:cs="Times New Roman"/>
          <w:kern w:val="0"/>
          <w14:ligatures w14:val="none"/>
        </w:rPr>
        <w:t xml:space="preserve"> illustrates structural minimisation of evidential imbalance.</w:t>
      </w:r>
    </w:p>
    <w:p w14:paraId="1AB0408F"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b/>
          <w:bCs/>
          <w:kern w:val="0"/>
          <w14:ligatures w14:val="none"/>
        </w:rPr>
        <w:t>Synthesis (optional one-liner):</w:t>
      </w:r>
      <w:r w:rsidRPr="005646F2">
        <w:rPr>
          <w:rFonts w:ascii="Times New Roman" w:eastAsia="Times New Roman" w:hAnsi="Times New Roman" w:cs="Times New Roman"/>
          <w:kern w:val="0"/>
          <w14:ligatures w14:val="none"/>
        </w:rPr>
        <w:t xml:space="preserve"> The judgment accepts Coinbase’s materiality, acknowledges defective disclosure and late correction, but treats the issue as lateness rather than non-disclosure without engaging with intent/legal duty or giving adequate reasons; that characterisation permeates substantive fairness and costs.</w:t>
      </w:r>
    </w:p>
    <w:p w14:paraId="76A97188" w14:textId="77777777" w:rsidR="005646F2" w:rsidRPr="005646F2" w:rsidRDefault="00EC3FAA" w:rsidP="005646F2">
      <w:pPr>
        <w:spacing w:after="0" w:line="240" w:lineRule="auto"/>
        <w:rPr>
          <w:rFonts w:ascii="Times New Roman" w:eastAsia="Times New Roman" w:hAnsi="Times New Roman" w:cs="Times New Roman"/>
          <w:kern w:val="0"/>
          <w14:ligatures w14:val="none"/>
        </w:rPr>
      </w:pPr>
      <w:r w:rsidRPr="00EC3FAA">
        <w:rPr>
          <w:rFonts w:ascii="Times New Roman" w:eastAsia="Times New Roman" w:hAnsi="Times New Roman" w:cs="Times New Roman"/>
          <w:noProof/>
          <w:kern w:val="0"/>
        </w:rPr>
        <w:pict w14:anchorId="5ACE9F01">
          <v:rect id="_x0000_i1026" alt="" style="width:468pt;height:.05pt;mso-width-percent:0;mso-height-percent:0;mso-width-percent:0;mso-height-percent:0" o:hralign="center" o:hrstd="t" o:hr="t" fillcolor="#a0a0a0" stroked="f"/>
        </w:pict>
      </w:r>
    </w:p>
    <w:p w14:paraId="5D756877" w14:textId="77777777" w:rsidR="005646F2" w:rsidRPr="005646F2" w:rsidRDefault="005646F2" w:rsidP="005646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46F2">
        <w:rPr>
          <w:rFonts w:ascii="Times New Roman" w:eastAsia="Times New Roman" w:hAnsi="Times New Roman" w:cs="Times New Roman"/>
          <w:b/>
          <w:bCs/>
          <w:kern w:val="0"/>
          <w:sz w:val="36"/>
          <w:szCs w:val="36"/>
          <w14:ligatures w14:val="none"/>
        </w:rPr>
        <w:t>B. The legal flaw in the judge’s Coinbase reasoning (detailed)</w:t>
      </w:r>
    </w:p>
    <w:p w14:paraId="7C357305" w14:textId="77777777" w:rsidR="005646F2" w:rsidRPr="005646F2" w:rsidRDefault="005646F2" w:rsidP="005646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46F2">
        <w:rPr>
          <w:rFonts w:ascii="Times New Roman" w:eastAsia="Times New Roman" w:hAnsi="Times New Roman" w:cs="Times New Roman"/>
          <w:b/>
          <w:bCs/>
          <w:kern w:val="0"/>
          <w:sz w:val="27"/>
          <w:szCs w:val="27"/>
          <w14:ligatures w14:val="none"/>
        </w:rPr>
        <w:t>1) The judge answers the wrong legal question</w:t>
      </w:r>
    </w:p>
    <w:p w14:paraId="298A8632"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Your core complaint is that the judge effectively treated the issue as:</w:t>
      </w:r>
    </w:p>
    <w:p w14:paraId="424AFDE9"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“Was the value disclosed before the FDR, so the process was ultimately informed?”</w:t>
      </w:r>
    </w:p>
    <w:p w14:paraId="51FBB400"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But the legally required question (once knowledge + misstatement are in play) is:</w:t>
      </w:r>
    </w:p>
    <w:p w14:paraId="40355478"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“Was there a knowing misstatement / material non-disclosure at the time of Form E and negotiation, and what are the consequences of that breach?”</w:t>
      </w:r>
    </w:p>
    <w:p w14:paraId="58F64BB8"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 xml:space="preserve">That’s a </w:t>
      </w:r>
      <w:r w:rsidRPr="005646F2">
        <w:rPr>
          <w:rFonts w:ascii="Times New Roman" w:eastAsia="Times New Roman" w:hAnsi="Times New Roman" w:cs="Times New Roman"/>
          <w:b/>
          <w:bCs/>
          <w:kern w:val="0"/>
          <w14:ligatures w14:val="none"/>
        </w:rPr>
        <w:t>category error</w:t>
      </w:r>
      <w:r w:rsidRPr="005646F2">
        <w:rPr>
          <w:rFonts w:ascii="Times New Roman" w:eastAsia="Times New Roman" w:hAnsi="Times New Roman" w:cs="Times New Roman"/>
          <w:kern w:val="0"/>
          <w14:ligatures w14:val="none"/>
        </w:rPr>
        <w:t xml:space="preserve">. “Later disclosure” goes to </w:t>
      </w:r>
      <w:r w:rsidRPr="005646F2">
        <w:rPr>
          <w:rFonts w:ascii="Times New Roman" w:eastAsia="Times New Roman" w:hAnsi="Times New Roman" w:cs="Times New Roman"/>
          <w:i/>
          <w:iCs/>
          <w:kern w:val="0"/>
          <w14:ligatures w14:val="none"/>
        </w:rPr>
        <w:t>mitigation and consequence</w:t>
      </w:r>
      <w:r w:rsidRPr="005646F2">
        <w:rPr>
          <w:rFonts w:ascii="Times New Roman" w:eastAsia="Times New Roman" w:hAnsi="Times New Roman" w:cs="Times New Roman"/>
          <w:kern w:val="0"/>
          <w14:ligatures w14:val="none"/>
        </w:rPr>
        <w:t xml:space="preserve">. It does </w:t>
      </w:r>
      <w:r w:rsidRPr="005646F2">
        <w:rPr>
          <w:rFonts w:ascii="Times New Roman" w:eastAsia="Times New Roman" w:hAnsi="Times New Roman" w:cs="Times New Roman"/>
          <w:b/>
          <w:bCs/>
          <w:kern w:val="0"/>
          <w14:ligatures w14:val="none"/>
        </w:rPr>
        <w:t>not</w:t>
      </w:r>
      <w:r w:rsidRPr="005646F2">
        <w:rPr>
          <w:rFonts w:ascii="Times New Roman" w:eastAsia="Times New Roman" w:hAnsi="Times New Roman" w:cs="Times New Roman"/>
          <w:kern w:val="0"/>
          <w14:ligatures w14:val="none"/>
        </w:rPr>
        <w:t xml:space="preserve"> determine </w:t>
      </w:r>
      <w:r w:rsidRPr="005646F2">
        <w:rPr>
          <w:rFonts w:ascii="Times New Roman" w:eastAsia="Times New Roman" w:hAnsi="Times New Roman" w:cs="Times New Roman"/>
          <w:i/>
          <w:iCs/>
          <w:kern w:val="0"/>
          <w14:ligatures w14:val="none"/>
        </w:rPr>
        <w:t>whether the earlier breach occurred</w:t>
      </w:r>
      <w:r w:rsidRPr="005646F2">
        <w:rPr>
          <w:rFonts w:ascii="Times New Roman" w:eastAsia="Times New Roman" w:hAnsi="Times New Roman" w:cs="Times New Roman"/>
          <w:kern w:val="0"/>
          <w14:ligatures w14:val="none"/>
        </w:rPr>
        <w:t>, nor does it erase its legal significance.</w:t>
      </w:r>
    </w:p>
    <w:p w14:paraId="7BC3C0A9" w14:textId="77777777" w:rsidR="005646F2" w:rsidRPr="005646F2" w:rsidRDefault="005646F2" w:rsidP="005646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46F2">
        <w:rPr>
          <w:rFonts w:ascii="Times New Roman" w:eastAsia="Times New Roman" w:hAnsi="Times New Roman" w:cs="Times New Roman"/>
          <w:b/>
          <w:bCs/>
          <w:kern w:val="0"/>
          <w:sz w:val="27"/>
          <w:szCs w:val="27"/>
          <w14:ligatures w14:val="none"/>
        </w:rPr>
        <w:t>2) “Late disclosure” cannot lawfully cure a knowing misstatement</w:t>
      </w:r>
    </w:p>
    <w:p w14:paraId="1FC30609"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In financial remedy law, full and frank disclosure is not an informal courtesy; it’s a structured obligation (continuing duty) enforced through statements of truth and the court’s reliance on parties’ disclosure for settlement and adjudication.</w:t>
      </w:r>
    </w:p>
    <w:p w14:paraId="17CB5DAA"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 xml:space="preserve">If a party </w:t>
      </w:r>
      <w:r w:rsidRPr="005646F2">
        <w:rPr>
          <w:rFonts w:ascii="Times New Roman" w:eastAsia="Times New Roman" w:hAnsi="Times New Roman" w:cs="Times New Roman"/>
          <w:b/>
          <w:bCs/>
          <w:kern w:val="0"/>
          <w14:ligatures w14:val="none"/>
        </w:rPr>
        <w:t>knows</w:t>
      </w:r>
      <w:r w:rsidRPr="005646F2">
        <w:rPr>
          <w:rFonts w:ascii="Times New Roman" w:eastAsia="Times New Roman" w:hAnsi="Times New Roman" w:cs="Times New Roman"/>
          <w:kern w:val="0"/>
          <w14:ligatures w14:val="none"/>
        </w:rPr>
        <w:t xml:space="preserve"> an asset is worth millions (or knows it is imminently liquid and materially higher than historic cost) and reports a drastically lower figure, the legal significance is not merely that the update arrived late. It is that the counterparty (and potentially the court) were </w:t>
      </w:r>
      <w:r w:rsidRPr="005646F2">
        <w:rPr>
          <w:rFonts w:ascii="Times New Roman" w:eastAsia="Times New Roman" w:hAnsi="Times New Roman" w:cs="Times New Roman"/>
          <w:b/>
          <w:bCs/>
          <w:kern w:val="0"/>
          <w14:ligatures w14:val="none"/>
        </w:rPr>
        <w:t>misled at the time decisions were being made</w:t>
      </w:r>
      <w:r w:rsidRPr="005646F2">
        <w:rPr>
          <w:rFonts w:ascii="Times New Roman" w:eastAsia="Times New Roman" w:hAnsi="Times New Roman" w:cs="Times New Roman"/>
          <w:kern w:val="0"/>
          <w14:ligatures w14:val="none"/>
        </w:rPr>
        <w:t>—including negotiations, positions adopted, and strategic choices.</w:t>
      </w:r>
    </w:p>
    <w:p w14:paraId="6FD506CA"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Even if the figure is later corrected before an FDR:</w:t>
      </w:r>
    </w:p>
    <w:p w14:paraId="5A7270E3" w14:textId="77777777" w:rsidR="005646F2" w:rsidRPr="005646F2" w:rsidRDefault="005646F2" w:rsidP="005646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negotiations may already have been distorted,</w:t>
      </w:r>
    </w:p>
    <w:p w14:paraId="736197E4" w14:textId="77777777" w:rsidR="005646F2" w:rsidRPr="005646F2" w:rsidRDefault="005646F2" w:rsidP="005646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trust and litigation posture already affected,</w:t>
      </w:r>
    </w:p>
    <w:p w14:paraId="020D0775" w14:textId="77777777" w:rsidR="005646F2" w:rsidRPr="005646F2" w:rsidRDefault="005646F2" w:rsidP="005646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lastRenderedPageBreak/>
        <w:t>concessions/strategy already shaped on a false premise.</w:t>
      </w:r>
    </w:p>
    <w:p w14:paraId="48E3D01F"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 xml:space="preserve">That is why the “it was corrected later” reasoning is </w:t>
      </w:r>
      <w:r w:rsidRPr="005646F2">
        <w:rPr>
          <w:rFonts w:ascii="Times New Roman" w:eastAsia="Times New Roman" w:hAnsi="Times New Roman" w:cs="Times New Roman"/>
          <w:b/>
          <w:bCs/>
          <w:kern w:val="0"/>
          <w14:ligatures w14:val="none"/>
        </w:rPr>
        <w:t>not responsive</w:t>
      </w:r>
      <w:r w:rsidRPr="005646F2">
        <w:rPr>
          <w:rFonts w:ascii="Times New Roman" w:eastAsia="Times New Roman" w:hAnsi="Times New Roman" w:cs="Times New Roman"/>
          <w:kern w:val="0"/>
          <w14:ligatures w14:val="none"/>
        </w:rPr>
        <w:t xml:space="preserve"> to the legal wrong.</w:t>
      </w:r>
    </w:p>
    <w:p w14:paraId="66B40D14" w14:textId="77777777" w:rsidR="005646F2" w:rsidRPr="005646F2" w:rsidRDefault="005646F2" w:rsidP="005646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46F2">
        <w:rPr>
          <w:rFonts w:ascii="Times New Roman" w:eastAsia="Times New Roman" w:hAnsi="Times New Roman" w:cs="Times New Roman"/>
          <w:b/>
          <w:bCs/>
          <w:kern w:val="0"/>
          <w:sz w:val="27"/>
          <w:szCs w:val="27"/>
          <w14:ligatures w14:val="none"/>
        </w:rPr>
        <w:t>3) Failure to engage with intent is a failure to apply the correct test</w:t>
      </w:r>
    </w:p>
    <w:p w14:paraId="2466A49D"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 xml:space="preserve">You’ve consistently pointed to an </w:t>
      </w:r>
      <w:r w:rsidRPr="005646F2">
        <w:rPr>
          <w:rFonts w:ascii="Times New Roman" w:eastAsia="Times New Roman" w:hAnsi="Times New Roman" w:cs="Times New Roman"/>
          <w:b/>
          <w:bCs/>
          <w:kern w:val="0"/>
          <w14:ligatures w14:val="none"/>
        </w:rPr>
        <w:t>intent/knowledge</w:t>
      </w:r>
      <w:r w:rsidRPr="005646F2">
        <w:rPr>
          <w:rFonts w:ascii="Times New Roman" w:eastAsia="Times New Roman" w:hAnsi="Times New Roman" w:cs="Times New Roman"/>
          <w:kern w:val="0"/>
          <w14:ligatures w14:val="none"/>
        </w:rPr>
        <w:t xml:space="preserve"> element:</w:t>
      </w:r>
    </w:p>
    <w:p w14:paraId="10C5E78A" w14:textId="77777777" w:rsidR="005646F2" w:rsidRPr="005646F2" w:rsidRDefault="005646F2" w:rsidP="005646F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knowing the value was in the millions,</w:t>
      </w:r>
    </w:p>
    <w:p w14:paraId="13505E12" w14:textId="77777777" w:rsidR="005646F2" w:rsidRPr="005646F2" w:rsidRDefault="005646F2" w:rsidP="005646F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reporting historic cost,</w:t>
      </w:r>
    </w:p>
    <w:p w14:paraId="0D359037" w14:textId="77777777" w:rsidR="005646F2" w:rsidRPr="005646F2" w:rsidRDefault="005646F2" w:rsidP="005646F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and then negotiating based on the low figure.</w:t>
      </w:r>
    </w:p>
    <w:p w14:paraId="5AEA3FE2"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 xml:space="preserve">Once that is raised (and especially if it is supported by admissions), the judge must </w:t>
      </w:r>
      <w:r w:rsidRPr="005646F2">
        <w:rPr>
          <w:rFonts w:ascii="Times New Roman" w:eastAsia="Times New Roman" w:hAnsi="Times New Roman" w:cs="Times New Roman"/>
          <w:b/>
          <w:bCs/>
          <w:kern w:val="0"/>
          <w14:ligatures w14:val="none"/>
        </w:rPr>
        <w:t>squarely address</w:t>
      </w:r>
      <w:r w:rsidRPr="005646F2">
        <w:rPr>
          <w:rFonts w:ascii="Times New Roman" w:eastAsia="Times New Roman" w:hAnsi="Times New Roman" w:cs="Times New Roman"/>
          <w:kern w:val="0"/>
          <w14:ligatures w14:val="none"/>
        </w:rPr>
        <w:t>:</w:t>
      </w:r>
    </w:p>
    <w:p w14:paraId="67A199E4" w14:textId="77777777" w:rsidR="005646F2" w:rsidRPr="005646F2" w:rsidRDefault="005646F2" w:rsidP="005646F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what the Respondent knew,</w:t>
      </w:r>
    </w:p>
    <w:p w14:paraId="3D99A309" w14:textId="77777777" w:rsidR="005646F2" w:rsidRPr="005646F2" w:rsidRDefault="005646F2" w:rsidP="005646F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whether the Form E presentation was a knowing misstatement,</w:t>
      </w:r>
    </w:p>
    <w:p w14:paraId="4A1056A0" w14:textId="77777777" w:rsidR="005646F2" w:rsidRPr="005646F2" w:rsidRDefault="005646F2" w:rsidP="005646F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and why that does or does not amount to non-disclosure/misrepresentation in the legal sense.</w:t>
      </w:r>
    </w:p>
    <w:p w14:paraId="6FD82777"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 xml:space="preserve">Characterising it as “late disclosure” without engaging with knowledge/intent is not an evaluative preference; it is </w:t>
      </w:r>
      <w:r w:rsidRPr="005646F2">
        <w:rPr>
          <w:rFonts w:ascii="Times New Roman" w:eastAsia="Times New Roman" w:hAnsi="Times New Roman" w:cs="Times New Roman"/>
          <w:b/>
          <w:bCs/>
          <w:kern w:val="0"/>
          <w14:ligatures w14:val="none"/>
        </w:rPr>
        <w:t>skipping the legally decisive step</w:t>
      </w:r>
      <w:r w:rsidRPr="005646F2">
        <w:rPr>
          <w:rFonts w:ascii="Times New Roman" w:eastAsia="Times New Roman" w:hAnsi="Times New Roman" w:cs="Times New Roman"/>
          <w:kern w:val="0"/>
          <w14:ligatures w14:val="none"/>
        </w:rPr>
        <w:t>.</w:t>
      </w:r>
    </w:p>
    <w:p w14:paraId="526EFD49" w14:textId="77777777" w:rsidR="005646F2" w:rsidRPr="005646F2" w:rsidRDefault="005646F2" w:rsidP="005646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46F2">
        <w:rPr>
          <w:rFonts w:ascii="Times New Roman" w:eastAsia="Times New Roman" w:hAnsi="Times New Roman" w:cs="Times New Roman"/>
          <w:b/>
          <w:bCs/>
          <w:kern w:val="0"/>
          <w:sz w:val="27"/>
          <w:szCs w:val="27"/>
          <w14:ligatures w14:val="none"/>
        </w:rPr>
        <w:t>4) Inadequate reasons: the judgment does not reconcile law with facts</w:t>
      </w:r>
    </w:p>
    <w:p w14:paraId="06F7B982"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Even if the judge was entitled to reach a conclusion favourable to the Respondent, he still had to give reasons that:</w:t>
      </w:r>
    </w:p>
    <w:p w14:paraId="6894577D" w14:textId="77777777" w:rsidR="005646F2" w:rsidRPr="005646F2" w:rsidRDefault="005646F2" w:rsidP="005646F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show he applied the correct legal framework, and</w:t>
      </w:r>
    </w:p>
    <w:p w14:paraId="1DED3725" w14:textId="77777777" w:rsidR="005646F2" w:rsidRPr="005646F2" w:rsidRDefault="005646F2" w:rsidP="005646F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explain why the conclusion follows despite the features pointing the other way (knowledge, scale, statement of truth, negotiation distortion).</w:t>
      </w:r>
    </w:p>
    <w:p w14:paraId="30694D06"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 xml:space="preserve">A bare “it was disclosed before the FDR” explanation is </w:t>
      </w:r>
      <w:r w:rsidRPr="005646F2">
        <w:rPr>
          <w:rFonts w:ascii="Times New Roman" w:eastAsia="Times New Roman" w:hAnsi="Times New Roman" w:cs="Times New Roman"/>
          <w:b/>
          <w:bCs/>
          <w:kern w:val="0"/>
          <w14:ligatures w14:val="none"/>
        </w:rPr>
        <w:t>not a reasoned answer</w:t>
      </w:r>
      <w:r w:rsidRPr="005646F2">
        <w:rPr>
          <w:rFonts w:ascii="Times New Roman" w:eastAsia="Times New Roman" w:hAnsi="Times New Roman" w:cs="Times New Roman"/>
          <w:kern w:val="0"/>
          <w14:ligatures w14:val="none"/>
        </w:rPr>
        <w:t xml:space="preserve"> to the pleaded contention that a knowing misstatement had already occurred and had consequences.</w:t>
      </w:r>
    </w:p>
    <w:p w14:paraId="52BCBD10"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 xml:space="preserve">This is classic “insufficient reasons” territory: the reader cannot see </w:t>
      </w:r>
      <w:r w:rsidRPr="005646F2">
        <w:rPr>
          <w:rFonts w:ascii="Times New Roman" w:eastAsia="Times New Roman" w:hAnsi="Times New Roman" w:cs="Times New Roman"/>
          <w:b/>
          <w:bCs/>
          <w:kern w:val="0"/>
          <w14:ligatures w14:val="none"/>
        </w:rPr>
        <w:t>how</w:t>
      </w:r>
      <w:r w:rsidRPr="005646F2">
        <w:rPr>
          <w:rFonts w:ascii="Times New Roman" w:eastAsia="Times New Roman" w:hAnsi="Times New Roman" w:cs="Times New Roman"/>
          <w:kern w:val="0"/>
          <w14:ligatures w14:val="none"/>
        </w:rPr>
        <w:t xml:space="preserve"> the legal duty is being applied.</w:t>
      </w:r>
    </w:p>
    <w:p w14:paraId="2DADFF82" w14:textId="77777777" w:rsidR="005646F2" w:rsidRPr="005646F2" w:rsidRDefault="005646F2" w:rsidP="005646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46F2">
        <w:rPr>
          <w:rFonts w:ascii="Times New Roman" w:eastAsia="Times New Roman" w:hAnsi="Times New Roman" w:cs="Times New Roman"/>
          <w:b/>
          <w:bCs/>
          <w:kern w:val="0"/>
          <w:sz w:val="27"/>
          <w:szCs w:val="27"/>
          <w14:ligatures w14:val="none"/>
        </w:rPr>
        <w:t>5) Internal inconsistency: materiality accepted, breach minimised</w:t>
      </w:r>
    </w:p>
    <w:p w14:paraId="072FD8E6"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The judgment treats Coinbase as sufficiently real and serious to require provision for tax consequences, and acknowledges the disclosure defect caused legitimate concern. Yet it simultaneously downshifts the disclosure breach into “late disclosure” with minimal reasoning.</w:t>
      </w:r>
    </w:p>
    <w:p w14:paraId="51A0ABA5"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That tension matters on appeal because it suggests:</w:t>
      </w:r>
    </w:p>
    <w:p w14:paraId="1BE5CCB5" w14:textId="77777777" w:rsidR="005646F2" w:rsidRPr="005646F2" w:rsidRDefault="005646F2" w:rsidP="005646F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lastRenderedPageBreak/>
        <w:t>either the issue is serious (and the disclosure breach must be analysed properly), or</w:t>
      </w:r>
    </w:p>
    <w:p w14:paraId="59EB0795" w14:textId="77777777" w:rsidR="005646F2" w:rsidRPr="005646F2" w:rsidRDefault="005646F2" w:rsidP="005646F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it is not serious (in which case why the tax provision/legitimate concern?).</w:t>
      </w:r>
    </w:p>
    <w:p w14:paraId="288EB214"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 xml:space="preserve">A failure to reconcile that tension supports an argument of </w:t>
      </w:r>
      <w:r w:rsidRPr="005646F2">
        <w:rPr>
          <w:rFonts w:ascii="Times New Roman" w:eastAsia="Times New Roman" w:hAnsi="Times New Roman" w:cs="Times New Roman"/>
          <w:b/>
          <w:bCs/>
          <w:kern w:val="0"/>
          <w14:ligatures w14:val="none"/>
        </w:rPr>
        <w:t>irrational containment</w:t>
      </w:r>
      <w:r w:rsidRPr="005646F2">
        <w:rPr>
          <w:rFonts w:ascii="Times New Roman" w:eastAsia="Times New Roman" w:hAnsi="Times New Roman" w:cs="Times New Roman"/>
          <w:kern w:val="0"/>
          <w14:ligatures w14:val="none"/>
        </w:rPr>
        <w:t xml:space="preserve"> (not “irrational” as insult—irrational as a legal label meaning the conclusion is not adequately supported by the stated reasoning).</w:t>
      </w:r>
    </w:p>
    <w:p w14:paraId="05525FAB" w14:textId="77777777" w:rsidR="005646F2" w:rsidRPr="005646F2" w:rsidRDefault="005646F2" w:rsidP="005646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46F2">
        <w:rPr>
          <w:rFonts w:ascii="Times New Roman" w:eastAsia="Times New Roman" w:hAnsi="Times New Roman" w:cs="Times New Roman"/>
          <w:b/>
          <w:bCs/>
          <w:kern w:val="0"/>
          <w:sz w:val="27"/>
          <w:szCs w:val="27"/>
          <w14:ligatures w14:val="none"/>
        </w:rPr>
        <w:t>6) Why this matters for costs (directly)</w:t>
      </w:r>
    </w:p>
    <w:p w14:paraId="442CD1A7"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Costs reasoning often depends on whether a party’s conduct was reasonable in context. If the judge wrongly minimises a serious disclosure breach, he is more likely to:</w:t>
      </w:r>
    </w:p>
    <w:p w14:paraId="0673C5CB" w14:textId="77777777" w:rsidR="005646F2" w:rsidRPr="005646F2" w:rsidRDefault="005646F2" w:rsidP="005646F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treat the Applicant’s pursuit of disclosure/verification as unreasonable or excessive,</w:t>
      </w:r>
    </w:p>
    <w:p w14:paraId="2277B339" w14:textId="77777777" w:rsidR="005646F2" w:rsidRPr="005646F2" w:rsidRDefault="005646F2" w:rsidP="005646F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treat mistrust as paranoia rather than justified,</w:t>
      </w:r>
    </w:p>
    <w:p w14:paraId="65234734" w14:textId="77777777" w:rsidR="005646F2" w:rsidRPr="005646F2" w:rsidRDefault="005646F2" w:rsidP="005646F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and allocate costs against her on a distorted premise.</w:t>
      </w:r>
    </w:p>
    <w:p w14:paraId="156F8A42"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So the Coinbase reasoning is not a “side issue”—it can infect the costs analysis.</w:t>
      </w:r>
    </w:p>
    <w:p w14:paraId="7317BCD2" w14:textId="77777777" w:rsidR="005646F2" w:rsidRPr="005646F2" w:rsidRDefault="005646F2" w:rsidP="005646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46F2">
        <w:rPr>
          <w:rFonts w:ascii="Times New Roman" w:eastAsia="Times New Roman" w:hAnsi="Times New Roman" w:cs="Times New Roman"/>
          <w:b/>
          <w:bCs/>
          <w:kern w:val="0"/>
          <w:sz w:val="27"/>
          <w:szCs w:val="27"/>
          <w14:ligatures w14:val="none"/>
        </w:rPr>
        <w:t>7) How to state the flaw in one appellate sentence</w:t>
      </w:r>
    </w:p>
    <w:p w14:paraId="70B3C2FD"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If you want the cleanest formulation:</w:t>
      </w:r>
    </w:p>
    <w:p w14:paraId="3B4C6A1B"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The judge treated later disclosure before the FDR as determinative of characterisation, thereby failing to engage with the legal significance of a knowing misstatement under a statement of truth and failing to give adequate reasons for downgrading the conduct from non-disclosure/misrepresentation to mere lateness.</w:t>
      </w:r>
    </w:p>
    <w:p w14:paraId="7D8F73EF" w14:textId="77777777" w:rsidR="005646F2" w:rsidRPr="005646F2" w:rsidRDefault="00EC3FAA" w:rsidP="005646F2">
      <w:pPr>
        <w:spacing w:after="0" w:line="240" w:lineRule="auto"/>
        <w:rPr>
          <w:rFonts w:ascii="Times New Roman" w:eastAsia="Times New Roman" w:hAnsi="Times New Roman" w:cs="Times New Roman"/>
          <w:kern w:val="0"/>
          <w14:ligatures w14:val="none"/>
        </w:rPr>
      </w:pPr>
      <w:r w:rsidRPr="00EC3FAA">
        <w:rPr>
          <w:rFonts w:ascii="Times New Roman" w:eastAsia="Times New Roman" w:hAnsi="Times New Roman" w:cs="Times New Roman"/>
          <w:noProof/>
          <w:kern w:val="0"/>
        </w:rPr>
        <w:pict w14:anchorId="2302FDF8">
          <v:rect id="_x0000_i1025" alt="" style="width:468pt;height:.05pt;mso-width-percent:0;mso-height-percent:0;mso-width-percent:0;mso-height-percent:0" o:hralign="center" o:hrstd="t" o:hr="t" fillcolor="#a0a0a0" stroked="f"/>
        </w:pict>
      </w:r>
    </w:p>
    <w:p w14:paraId="035F87C5" w14:textId="77777777" w:rsidR="005646F2" w:rsidRPr="005646F2" w:rsidRDefault="005646F2" w:rsidP="005646F2">
      <w:p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If you want, I can now turn this into:</w:t>
      </w:r>
    </w:p>
    <w:p w14:paraId="02E85248" w14:textId="77777777" w:rsidR="005646F2" w:rsidRPr="005646F2" w:rsidRDefault="005646F2" w:rsidP="005646F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 xml:space="preserve">a </w:t>
      </w:r>
      <w:r w:rsidRPr="005646F2">
        <w:rPr>
          <w:rFonts w:ascii="Times New Roman" w:eastAsia="Times New Roman" w:hAnsi="Times New Roman" w:cs="Times New Roman"/>
          <w:b/>
          <w:bCs/>
          <w:kern w:val="0"/>
          <w14:ligatures w14:val="none"/>
        </w:rPr>
        <w:t>single numbered ground</w:t>
      </w:r>
      <w:r w:rsidRPr="005646F2">
        <w:rPr>
          <w:rFonts w:ascii="Times New Roman" w:eastAsia="Times New Roman" w:hAnsi="Times New Roman" w:cs="Times New Roman"/>
          <w:kern w:val="0"/>
          <w14:ligatures w14:val="none"/>
        </w:rPr>
        <w:t xml:space="preserve"> (tight, Court of Appeal style), and/or</w:t>
      </w:r>
    </w:p>
    <w:p w14:paraId="25A95319" w14:textId="77777777" w:rsidR="005646F2" w:rsidRPr="005646F2" w:rsidRDefault="005646F2" w:rsidP="005646F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646F2">
        <w:rPr>
          <w:rFonts w:ascii="Times New Roman" w:eastAsia="Times New Roman" w:hAnsi="Times New Roman" w:cs="Times New Roman"/>
          <w:kern w:val="0"/>
          <w14:ligatures w14:val="none"/>
        </w:rPr>
        <w:t xml:space="preserve">a </w:t>
      </w:r>
      <w:r w:rsidRPr="005646F2">
        <w:rPr>
          <w:rFonts w:ascii="Times New Roman" w:eastAsia="Times New Roman" w:hAnsi="Times New Roman" w:cs="Times New Roman"/>
          <w:b/>
          <w:bCs/>
          <w:kern w:val="0"/>
          <w14:ligatures w14:val="none"/>
        </w:rPr>
        <w:t>short “errors and materiality” section</w:t>
      </w:r>
      <w:r w:rsidRPr="005646F2">
        <w:rPr>
          <w:rFonts w:ascii="Times New Roman" w:eastAsia="Times New Roman" w:hAnsi="Times New Roman" w:cs="Times New Roman"/>
          <w:kern w:val="0"/>
          <w14:ligatures w14:val="none"/>
        </w:rPr>
        <w:t xml:space="preserve"> explaining why the flaw mattered to outcome and costs.</w:t>
      </w:r>
    </w:p>
    <w:p w14:paraId="1DBBBA00" w14:textId="77777777" w:rsidR="00E33504" w:rsidRDefault="00E33504"/>
    <w:sectPr w:rsidR="00E335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62172"/>
    <w:multiLevelType w:val="multilevel"/>
    <w:tmpl w:val="A7B2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3708B"/>
    <w:multiLevelType w:val="multilevel"/>
    <w:tmpl w:val="8AEE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E5D0D"/>
    <w:multiLevelType w:val="multilevel"/>
    <w:tmpl w:val="FCE0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80AC8"/>
    <w:multiLevelType w:val="multilevel"/>
    <w:tmpl w:val="8534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225A2"/>
    <w:multiLevelType w:val="multilevel"/>
    <w:tmpl w:val="F3EE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865AB"/>
    <w:multiLevelType w:val="multilevel"/>
    <w:tmpl w:val="221E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3C3D28"/>
    <w:multiLevelType w:val="multilevel"/>
    <w:tmpl w:val="CB34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939A1"/>
    <w:multiLevelType w:val="multilevel"/>
    <w:tmpl w:val="0880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CA73D1"/>
    <w:multiLevelType w:val="multilevel"/>
    <w:tmpl w:val="EB0E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2E4971"/>
    <w:multiLevelType w:val="multilevel"/>
    <w:tmpl w:val="90AA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53025F"/>
    <w:multiLevelType w:val="multilevel"/>
    <w:tmpl w:val="4000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1431BC"/>
    <w:multiLevelType w:val="multilevel"/>
    <w:tmpl w:val="6C10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5971CC"/>
    <w:multiLevelType w:val="multilevel"/>
    <w:tmpl w:val="E26A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531855">
    <w:abstractNumId w:val="8"/>
  </w:num>
  <w:num w:numId="2" w16cid:durableId="514225562">
    <w:abstractNumId w:val="1"/>
  </w:num>
  <w:num w:numId="3" w16cid:durableId="1421950224">
    <w:abstractNumId w:val="9"/>
  </w:num>
  <w:num w:numId="4" w16cid:durableId="627128649">
    <w:abstractNumId w:val="6"/>
  </w:num>
  <w:num w:numId="5" w16cid:durableId="130025695">
    <w:abstractNumId w:val="7"/>
  </w:num>
  <w:num w:numId="6" w16cid:durableId="2075619569">
    <w:abstractNumId w:val="12"/>
  </w:num>
  <w:num w:numId="7" w16cid:durableId="744568241">
    <w:abstractNumId w:val="3"/>
  </w:num>
  <w:num w:numId="8" w16cid:durableId="798305131">
    <w:abstractNumId w:val="11"/>
  </w:num>
  <w:num w:numId="9" w16cid:durableId="249193272">
    <w:abstractNumId w:val="10"/>
  </w:num>
  <w:num w:numId="10" w16cid:durableId="442456942">
    <w:abstractNumId w:val="4"/>
  </w:num>
  <w:num w:numId="11" w16cid:durableId="1599172232">
    <w:abstractNumId w:val="5"/>
  </w:num>
  <w:num w:numId="12" w16cid:durableId="134489550">
    <w:abstractNumId w:val="2"/>
  </w:num>
  <w:num w:numId="13" w16cid:durableId="876351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6F2"/>
    <w:rsid w:val="00446A13"/>
    <w:rsid w:val="005646F2"/>
    <w:rsid w:val="008E70A5"/>
    <w:rsid w:val="00A47EFA"/>
    <w:rsid w:val="00BA040D"/>
    <w:rsid w:val="00E33504"/>
    <w:rsid w:val="00EC3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546A8"/>
  <w15:chartTrackingRefBased/>
  <w15:docId w15:val="{DC2625EC-1132-D141-A7E7-1F5DA3508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6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6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46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6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6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
    <w:name w:val="Grid Table 1 Light"/>
    <w:basedOn w:val="TableNormal"/>
    <w:uiPriority w:val="46"/>
    <w:rsid w:val="00E33504"/>
    <w:pPr>
      <w:spacing w:after="0" w:line="240" w:lineRule="auto"/>
      <w:jc w:val="both"/>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cPr>
      <w:shd w:val="clear" w:color="auto" w:fill="AEC7D2"/>
    </w:tcPr>
    <w:tblStylePr w:type="firstRow">
      <w:rPr>
        <w:rFonts w:ascii="Calibri" w:hAnsi="Calibri"/>
        <w:b/>
        <w:bCs/>
        <w:color w:val="FFFFFF" w:themeColor="background1"/>
        <w:sz w:val="20"/>
      </w:rPr>
      <w:tblPr/>
      <w:tcPr>
        <w:shd w:val="clear" w:color="auto" w:fill="156082" w:themeFill="accent1"/>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tblStylePr w:type="band1Horz">
      <w:tblPr/>
      <w:tcPr>
        <w:shd w:val="clear" w:color="auto" w:fill="FFFFFF" w:themeFill="background1"/>
      </w:tcPr>
    </w:tblStylePr>
    <w:tblStylePr w:type="band2Horz">
      <w:tblPr/>
      <w:tcPr>
        <w:shd w:val="clear" w:color="auto" w:fill="AEC7D2"/>
      </w:tcPr>
    </w:tblStylePr>
  </w:style>
  <w:style w:type="table" w:customStyle="1" w:styleId="Style5">
    <w:name w:val="Style5"/>
    <w:basedOn w:val="TableNormal"/>
    <w:uiPriority w:val="99"/>
    <w:rsid w:val="00E33504"/>
    <w:pPr>
      <w:spacing w:after="0" w:line="240" w:lineRule="auto"/>
    </w:pPr>
    <w:tblPr>
      <w:tblStyleRowBandSize w:val="1"/>
      <w:tblStyleColBandSize w:val="1"/>
    </w:tblPr>
    <w:tblStylePr w:type="firstRow">
      <w:rPr>
        <w:b/>
        <w:color w:val="FFFFFF" w:themeColor="background1"/>
      </w:rPr>
      <w:tblPr/>
      <w:tcPr>
        <w:shd w:val="clear" w:color="auto" w:fill="0B769F" w:themeFill="accent4" w:themeFillShade="BF"/>
      </w:tcPr>
    </w:tblStylePr>
    <w:tblStylePr w:type="lastRow">
      <w:tblPr/>
      <w:tcPr>
        <w:shd w:val="clear" w:color="auto" w:fill="AEC7D2"/>
      </w:tcPr>
    </w:tblStylePr>
    <w:tblStylePr w:type="band2Vert">
      <w:tblPr/>
      <w:tcPr>
        <w:shd w:val="clear" w:color="auto" w:fill="FFFFFF" w:themeFill="background1"/>
      </w:tcPr>
    </w:tblStylePr>
    <w:tblStylePr w:type="band2Horz">
      <w:pPr>
        <w:jc w:val="left"/>
      </w:pPr>
      <w:tblPr/>
      <w:tcPr>
        <w:shd w:val="clear" w:color="auto" w:fill="AEC7D2"/>
      </w:tcPr>
    </w:tblStylePr>
  </w:style>
  <w:style w:type="paragraph" w:styleId="Header">
    <w:name w:val="header"/>
    <w:basedOn w:val="Normal"/>
    <w:link w:val="HeaderChar"/>
    <w:uiPriority w:val="99"/>
    <w:unhideWhenUsed/>
    <w:rsid w:val="00446A13"/>
    <w:pPr>
      <w:tabs>
        <w:tab w:val="center" w:pos="4680"/>
        <w:tab w:val="right" w:pos="9360"/>
      </w:tabs>
      <w:spacing w:after="0" w:line="240" w:lineRule="auto"/>
    </w:pPr>
    <w:rPr>
      <w:color w:val="0F4761" w:themeColor="accent1" w:themeShade="BF"/>
      <w:sz w:val="21"/>
    </w:rPr>
  </w:style>
  <w:style w:type="character" w:customStyle="1" w:styleId="HeaderChar">
    <w:name w:val="Header Char"/>
    <w:basedOn w:val="DefaultParagraphFont"/>
    <w:link w:val="Header"/>
    <w:uiPriority w:val="99"/>
    <w:rsid w:val="00446A13"/>
    <w:rPr>
      <w:color w:val="0F4761" w:themeColor="accent1" w:themeShade="BF"/>
      <w:sz w:val="21"/>
    </w:rPr>
  </w:style>
  <w:style w:type="character" w:customStyle="1" w:styleId="Heading1Char">
    <w:name w:val="Heading 1 Char"/>
    <w:basedOn w:val="DefaultParagraphFont"/>
    <w:link w:val="Heading1"/>
    <w:uiPriority w:val="9"/>
    <w:rsid w:val="005646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6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46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6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6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6F2"/>
    <w:rPr>
      <w:rFonts w:eastAsiaTheme="majorEastAsia" w:cstheme="majorBidi"/>
      <w:color w:val="272727" w:themeColor="text1" w:themeTint="D8"/>
    </w:rPr>
  </w:style>
  <w:style w:type="paragraph" w:styleId="Title">
    <w:name w:val="Title"/>
    <w:basedOn w:val="Normal"/>
    <w:next w:val="Normal"/>
    <w:link w:val="TitleChar"/>
    <w:uiPriority w:val="10"/>
    <w:qFormat/>
    <w:rsid w:val="00564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6F2"/>
    <w:pPr>
      <w:spacing w:before="160"/>
      <w:jc w:val="center"/>
    </w:pPr>
    <w:rPr>
      <w:i/>
      <w:iCs/>
      <w:color w:val="404040" w:themeColor="text1" w:themeTint="BF"/>
    </w:rPr>
  </w:style>
  <w:style w:type="character" w:customStyle="1" w:styleId="QuoteChar">
    <w:name w:val="Quote Char"/>
    <w:basedOn w:val="DefaultParagraphFont"/>
    <w:link w:val="Quote"/>
    <w:uiPriority w:val="29"/>
    <w:rsid w:val="005646F2"/>
    <w:rPr>
      <w:i/>
      <w:iCs/>
      <w:color w:val="404040" w:themeColor="text1" w:themeTint="BF"/>
    </w:rPr>
  </w:style>
  <w:style w:type="paragraph" w:styleId="ListParagraph">
    <w:name w:val="List Paragraph"/>
    <w:basedOn w:val="Normal"/>
    <w:uiPriority w:val="34"/>
    <w:qFormat/>
    <w:rsid w:val="005646F2"/>
    <w:pPr>
      <w:ind w:left="720"/>
      <w:contextualSpacing/>
    </w:pPr>
  </w:style>
  <w:style w:type="character" w:styleId="IntenseEmphasis">
    <w:name w:val="Intense Emphasis"/>
    <w:basedOn w:val="DefaultParagraphFont"/>
    <w:uiPriority w:val="21"/>
    <w:qFormat/>
    <w:rsid w:val="005646F2"/>
    <w:rPr>
      <w:i/>
      <w:iCs/>
      <w:color w:val="0F4761" w:themeColor="accent1" w:themeShade="BF"/>
    </w:rPr>
  </w:style>
  <w:style w:type="paragraph" w:styleId="IntenseQuote">
    <w:name w:val="Intense Quote"/>
    <w:basedOn w:val="Normal"/>
    <w:next w:val="Normal"/>
    <w:link w:val="IntenseQuoteChar"/>
    <w:uiPriority w:val="30"/>
    <w:qFormat/>
    <w:rsid w:val="005646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6F2"/>
    <w:rPr>
      <w:i/>
      <w:iCs/>
      <w:color w:val="0F4761" w:themeColor="accent1" w:themeShade="BF"/>
    </w:rPr>
  </w:style>
  <w:style w:type="character" w:styleId="IntenseReference">
    <w:name w:val="Intense Reference"/>
    <w:basedOn w:val="DefaultParagraphFont"/>
    <w:uiPriority w:val="32"/>
    <w:qFormat/>
    <w:rsid w:val="005646F2"/>
    <w:rPr>
      <w:b/>
      <w:bCs/>
      <w:smallCaps/>
      <w:color w:val="0F4761" w:themeColor="accent1" w:themeShade="BF"/>
      <w:spacing w:val="5"/>
    </w:rPr>
  </w:style>
  <w:style w:type="paragraph" w:styleId="NormalWeb">
    <w:name w:val="Normal (Web)"/>
    <w:basedOn w:val="Normal"/>
    <w:uiPriority w:val="99"/>
    <w:semiHidden/>
    <w:unhideWhenUsed/>
    <w:rsid w:val="005646F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46F2"/>
    <w:rPr>
      <w:b/>
      <w:bCs/>
    </w:rPr>
  </w:style>
  <w:style w:type="character" w:styleId="Emphasis">
    <w:name w:val="Emphasis"/>
    <w:basedOn w:val="DefaultParagraphFont"/>
    <w:uiPriority w:val="20"/>
    <w:qFormat/>
    <w:rsid w:val="005646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1422</Words>
  <Characters>8265</Characters>
  <Application>Microsoft Office Word</Application>
  <DocSecurity>0</DocSecurity>
  <Lines>155</Lines>
  <Paragraphs>94</Paragraphs>
  <ScaleCrop>false</ScaleCrop>
  <Company/>
  <LinksUpToDate>false</LinksUpToDate>
  <CharactersWithSpaces>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Zahmoul</dc:creator>
  <cp:keywords/>
  <dc:description/>
  <cp:lastModifiedBy>Nadia Zahmoul</cp:lastModifiedBy>
  <cp:revision>1</cp:revision>
  <dcterms:created xsi:type="dcterms:W3CDTF">2026-01-11T00:42:00Z</dcterms:created>
  <dcterms:modified xsi:type="dcterms:W3CDTF">2026-01-11T00:42:00Z</dcterms:modified>
</cp:coreProperties>
</file>