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5F2C" w14:textId="77777777" w:rsidR="000340FE" w:rsidRPr="00CB1817" w:rsidRDefault="000340FE" w:rsidP="000340FE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87288">
        <w:rPr>
          <w:rFonts w:ascii="Aptos" w:eastAsia="Times New Roman" w:hAnsi="Aptos" w:cs="Times New Roman"/>
          <w:b/>
          <w:bCs/>
          <w:kern w:val="36"/>
          <w:sz w:val="28"/>
          <w:szCs w:val="28"/>
          <w14:ligatures w14:val="none"/>
        </w:rPr>
        <w:t xml:space="preserve">PART B — EXHIBIT INDEX </w:t>
      </w:r>
    </w:p>
    <w:tbl>
      <w:tblPr>
        <w:tblW w:w="10915" w:type="dxa"/>
        <w:tblCellSpacing w:w="1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270"/>
        <w:gridCol w:w="4400"/>
        <w:gridCol w:w="4252"/>
      </w:tblGrid>
      <w:tr w:rsidR="000340FE" w:rsidRPr="00CB1817" w14:paraId="1A1BBEF6" w14:textId="77777777">
        <w:trPr>
          <w:tblHeader/>
          <w:tblCellSpacing w:w="15" w:type="dxa"/>
        </w:trPr>
        <w:tc>
          <w:tcPr>
            <w:tcW w:w="948" w:type="dxa"/>
            <w:shd w:val="clear" w:color="auto" w:fill="D9D9D9" w:themeFill="background1" w:themeFillShade="D9"/>
            <w:vAlign w:val="center"/>
            <w:hideMark/>
          </w:tcPr>
          <w:p w14:paraId="2B170E27" w14:textId="77777777" w:rsidR="000340FE" w:rsidRPr="00553D64" w:rsidRDefault="000340FE">
            <w:pPr>
              <w:spacing w:after="0" w:line="36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Exhibit Ref</w:t>
            </w:r>
          </w:p>
        </w:tc>
        <w:tc>
          <w:tcPr>
            <w:tcW w:w="1240" w:type="dxa"/>
            <w:shd w:val="clear" w:color="auto" w:fill="D9D9D9" w:themeFill="background1" w:themeFillShade="D9"/>
            <w:vAlign w:val="center"/>
            <w:hideMark/>
          </w:tcPr>
          <w:p w14:paraId="2E86A8B0" w14:textId="77777777" w:rsidR="000340FE" w:rsidRPr="00553D64" w:rsidRDefault="000340FE">
            <w:pPr>
              <w:spacing w:after="0" w:line="36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370" w:type="dxa"/>
            <w:shd w:val="clear" w:color="auto" w:fill="D9D9D9" w:themeFill="background1" w:themeFillShade="D9"/>
            <w:vAlign w:val="center"/>
            <w:hideMark/>
          </w:tcPr>
          <w:p w14:paraId="7F023C74" w14:textId="77777777" w:rsidR="000340FE" w:rsidRPr="00553D64" w:rsidRDefault="000340FE">
            <w:pPr>
              <w:spacing w:after="0" w:line="36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4207" w:type="dxa"/>
            <w:shd w:val="clear" w:color="auto" w:fill="D9D9D9" w:themeFill="background1" w:themeFillShade="D9"/>
            <w:vAlign w:val="center"/>
            <w:hideMark/>
          </w:tcPr>
          <w:p w14:paraId="13D62A26" w14:textId="77777777" w:rsidR="000340FE" w:rsidRPr="00553D64" w:rsidRDefault="000340FE">
            <w:pPr>
              <w:spacing w:after="0" w:line="36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Relevance to Administrative Duties</w:t>
            </w:r>
          </w:p>
        </w:tc>
      </w:tr>
      <w:tr w:rsidR="00D930B2" w:rsidRPr="00D930B2" w14:paraId="08926934" w14:textId="77777777">
        <w:trPr>
          <w:tblCellSpacing w:w="15" w:type="dxa"/>
        </w:trPr>
        <w:tc>
          <w:tcPr>
            <w:tcW w:w="948" w:type="dxa"/>
            <w:vAlign w:val="center"/>
          </w:tcPr>
          <w:p w14:paraId="74F1B873" w14:textId="7C44C10D" w:rsidR="00D930B2" w:rsidRPr="00D930B2" w:rsidRDefault="00D930B2">
            <w:pPr>
              <w:spacing w:after="0" w:line="360" w:lineRule="auto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930B2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E0</w:t>
            </w:r>
          </w:p>
        </w:tc>
        <w:tc>
          <w:tcPr>
            <w:tcW w:w="1240" w:type="dxa"/>
            <w:vAlign w:val="center"/>
          </w:tcPr>
          <w:p w14:paraId="783E14A7" w14:textId="77B8A804" w:rsidR="00D930B2" w:rsidRPr="00D930B2" w:rsidRDefault="00D930B2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D930B2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10 Dec 2023</w:t>
            </w:r>
          </w:p>
        </w:tc>
        <w:tc>
          <w:tcPr>
            <w:tcW w:w="4370" w:type="dxa"/>
            <w:vAlign w:val="center"/>
          </w:tcPr>
          <w:p w14:paraId="00AB34B2" w14:textId="1F7B5913" w:rsidR="00D930B2" w:rsidRPr="00D930B2" w:rsidRDefault="00D930B2" w:rsidP="00D930B2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D930B2">
              <w:rPr>
                <w:sz w:val="22"/>
                <w:szCs w:val="22"/>
              </w:rPr>
              <w:t>Initial notification to the Judicial Office (Private Secretary to the Master of the Rolls) attaching Criminal Referral Parts 1–3.</w:t>
            </w:r>
          </w:p>
        </w:tc>
        <w:tc>
          <w:tcPr>
            <w:tcW w:w="4207" w:type="dxa"/>
            <w:vAlign w:val="center"/>
          </w:tcPr>
          <w:p w14:paraId="4311450A" w14:textId="77777777" w:rsidR="00D930B2" w:rsidRPr="00D930B2" w:rsidRDefault="00D930B2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0340FE" w:rsidRPr="00BF0AE6" w14:paraId="30F94919" w14:textId="7777777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5799DF6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E1</w:t>
            </w:r>
          </w:p>
        </w:tc>
        <w:tc>
          <w:tcPr>
            <w:tcW w:w="1240" w:type="dxa"/>
            <w:vAlign w:val="center"/>
            <w:hideMark/>
          </w:tcPr>
          <w:p w14:paraId="15ADC1DC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8 Feb 2024</w:t>
            </w:r>
          </w:p>
        </w:tc>
        <w:tc>
          <w:tcPr>
            <w:tcW w:w="4370" w:type="dxa"/>
            <w:vAlign w:val="center"/>
            <w:hideMark/>
          </w:tcPr>
          <w:p w14:paraId="45F2C015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Correspondence to the court-appointed Single Joint Expert (cryptocurrency) drawing attention to information derived from the Imerman material and its potential relevance to serious financial and tax matters.</w:t>
            </w:r>
          </w:p>
        </w:tc>
        <w:tc>
          <w:tcPr>
            <w:tcW w:w="4207" w:type="dxa"/>
            <w:vAlign w:val="center"/>
            <w:hideMark/>
          </w:tcPr>
          <w:p w14:paraId="0CBFB116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Demonstrates that the significance of the Imerman material was raised within a court-controlled expert process, engaging heightened duties of preservation, oversight, and auditability.</w:t>
            </w:r>
          </w:p>
        </w:tc>
      </w:tr>
      <w:tr w:rsidR="000340FE" w:rsidRPr="00BF0AE6" w14:paraId="7FE61D4E" w14:textId="7777777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6760F15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E2</w:t>
            </w:r>
          </w:p>
        </w:tc>
        <w:tc>
          <w:tcPr>
            <w:tcW w:w="1240" w:type="dxa"/>
            <w:vAlign w:val="center"/>
            <w:hideMark/>
          </w:tcPr>
          <w:p w14:paraId="5A2D9203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11 Apr 2024</w:t>
            </w:r>
          </w:p>
        </w:tc>
        <w:tc>
          <w:tcPr>
            <w:tcW w:w="4370" w:type="dxa"/>
            <w:vAlign w:val="center"/>
            <w:hideMark/>
          </w:tcPr>
          <w:p w14:paraId="214760D2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Correspondence to the Secretary of State for Justice notifying him of the potential criminal relevance of information contained on the Imerman devices.</w:t>
            </w:r>
          </w:p>
        </w:tc>
        <w:tc>
          <w:tcPr>
            <w:tcW w:w="4207" w:type="dxa"/>
            <w:vAlign w:val="center"/>
            <w:hideMark/>
          </w:tcPr>
          <w:p w14:paraId="4A5A2910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Demonstrates notice at ministerial level to the executive authority responsible for HMCTS and court administration, engaging public-law duties of oversight and safeguarding.</w:t>
            </w:r>
          </w:p>
        </w:tc>
      </w:tr>
      <w:tr w:rsidR="000340FE" w:rsidRPr="00BF0AE6" w14:paraId="61B2EAC7" w14:textId="7777777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9FF3904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E3</w:t>
            </w:r>
          </w:p>
        </w:tc>
        <w:tc>
          <w:tcPr>
            <w:tcW w:w="1240" w:type="dxa"/>
            <w:vAlign w:val="center"/>
            <w:hideMark/>
          </w:tcPr>
          <w:p w14:paraId="0F3B15B7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12 Apr 2024</w:t>
            </w:r>
          </w:p>
        </w:tc>
        <w:tc>
          <w:tcPr>
            <w:tcW w:w="4370" w:type="dxa"/>
            <w:vAlign w:val="center"/>
            <w:hideMark/>
          </w:tcPr>
          <w:p w14:paraId="68BCB6FD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Correspondence to the High Court (Family Division) drawing attention to the potential criminal relevance of the Imerman material.</w:t>
            </w:r>
          </w:p>
        </w:tc>
        <w:tc>
          <w:tcPr>
            <w:tcW w:w="4207" w:type="dxa"/>
            <w:vAlign w:val="center"/>
            <w:hideMark/>
          </w:tcPr>
          <w:p w14:paraId="2AC4F9E1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Shows that the court system itself was placed on notice of the nature and sensitivity of the material.</w:t>
            </w:r>
          </w:p>
        </w:tc>
      </w:tr>
      <w:tr w:rsidR="000340FE" w:rsidRPr="00BF0AE6" w14:paraId="6952C5BB" w14:textId="7777777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7E5BD6B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E4</w:t>
            </w:r>
          </w:p>
        </w:tc>
        <w:tc>
          <w:tcPr>
            <w:tcW w:w="1240" w:type="dxa"/>
            <w:vAlign w:val="center"/>
            <w:hideMark/>
          </w:tcPr>
          <w:p w14:paraId="33A085A4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12 May 2024</w:t>
            </w:r>
          </w:p>
        </w:tc>
        <w:tc>
          <w:tcPr>
            <w:tcW w:w="4370" w:type="dxa"/>
            <w:vAlign w:val="center"/>
            <w:hideMark/>
          </w:tcPr>
          <w:p w14:paraId="3033C144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Mass correspondence to Members of Parliament and parliamentary committees drawing attention to the potential criminal relevance of information contained on the Imerman devices, following the absence of effective administrative response.</w:t>
            </w:r>
          </w:p>
        </w:tc>
        <w:tc>
          <w:tcPr>
            <w:tcW w:w="4207" w:type="dxa"/>
            <w:vAlign w:val="center"/>
            <w:hideMark/>
          </w:tcPr>
          <w:p w14:paraId="4C8A1BA1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Demonstrates escalation to parliamentary oversight mechanisms in the absence of documented administrative handling, reinforcing the public-interest dimension of the issue.</w:t>
            </w:r>
          </w:p>
        </w:tc>
      </w:tr>
      <w:tr w:rsidR="000340FE" w:rsidRPr="00BF0AE6" w14:paraId="42C57C43" w14:textId="7777777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7787366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E5</w:t>
            </w:r>
          </w:p>
        </w:tc>
        <w:tc>
          <w:tcPr>
            <w:tcW w:w="1240" w:type="dxa"/>
            <w:vAlign w:val="center"/>
            <w:hideMark/>
          </w:tcPr>
          <w:p w14:paraId="52EFC913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Apr 2021 – Jun 2022</w:t>
            </w:r>
          </w:p>
        </w:tc>
        <w:tc>
          <w:tcPr>
            <w:tcW w:w="4370" w:type="dxa"/>
            <w:vAlign w:val="center"/>
            <w:hideMark/>
          </w:tcPr>
          <w:p w14:paraId="5401C082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 xml:space="preserve">Open solicitor correspondence relating to the handling of Imerman material, including express acknowledgment that review was required and not optional, and that court </w:t>
            </w: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lastRenderedPageBreak/>
              <w:t>directions were necessary under the Imerman / UL framework.</w:t>
            </w:r>
          </w:p>
        </w:tc>
        <w:tc>
          <w:tcPr>
            <w:tcW w:w="4207" w:type="dxa"/>
            <w:vAlign w:val="center"/>
            <w:hideMark/>
          </w:tcPr>
          <w:p w14:paraId="62431690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lastRenderedPageBreak/>
              <w:t>Establishes knowledge of legal duties and the requirement to engage court supervision.</w:t>
            </w:r>
          </w:p>
        </w:tc>
      </w:tr>
      <w:tr w:rsidR="000340FE" w:rsidRPr="00BF0AE6" w14:paraId="60F1E9FE" w14:textId="7777777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D3CEA09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E6</w:t>
            </w:r>
          </w:p>
        </w:tc>
        <w:tc>
          <w:tcPr>
            <w:tcW w:w="1240" w:type="dxa"/>
            <w:vAlign w:val="center"/>
            <w:hideMark/>
          </w:tcPr>
          <w:p w14:paraId="14EB30FE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Apr 2021 – Jun 2022</w:t>
            </w:r>
          </w:p>
        </w:tc>
        <w:tc>
          <w:tcPr>
            <w:tcW w:w="4370" w:type="dxa"/>
            <w:vAlign w:val="center"/>
            <w:hideMark/>
          </w:tcPr>
          <w:p w14:paraId="1DC32BF6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Consolidated timeline and solicitor correspondence evidencing repeated acknowledgment of the duty to review the Imerman material and the absence of any completed review or administrative resolution.</w:t>
            </w:r>
          </w:p>
        </w:tc>
        <w:tc>
          <w:tcPr>
            <w:tcW w:w="4207" w:type="dxa"/>
            <w:vAlign w:val="center"/>
            <w:hideMark/>
          </w:tcPr>
          <w:p w14:paraId="637A2BDF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Demonstrates prolonged failure to discharge acknowledged duties over time.</w:t>
            </w:r>
          </w:p>
        </w:tc>
      </w:tr>
      <w:tr w:rsidR="000340FE" w:rsidRPr="00BF0AE6" w14:paraId="298D6C28" w14:textId="7777777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BAAA943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14:ligatures w14:val="none"/>
              </w:rPr>
              <w:t>E7</w:t>
            </w:r>
          </w:p>
        </w:tc>
        <w:tc>
          <w:tcPr>
            <w:tcW w:w="1240" w:type="dxa"/>
            <w:vAlign w:val="center"/>
            <w:hideMark/>
          </w:tcPr>
          <w:p w14:paraId="1D2C5013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12 Dec 2025</w:t>
            </w:r>
          </w:p>
        </w:tc>
        <w:tc>
          <w:tcPr>
            <w:tcW w:w="4370" w:type="dxa"/>
            <w:vAlign w:val="center"/>
            <w:hideMark/>
          </w:tcPr>
          <w:p w14:paraId="4808AF7C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Formal written request to the Respondent’s solicitors seeking confirmation of custody, authority for any release, and the existence of any audit trail in respect of the Imerman devices (unanswered).</w:t>
            </w:r>
          </w:p>
        </w:tc>
        <w:tc>
          <w:tcPr>
            <w:tcW w:w="4207" w:type="dxa"/>
            <w:vAlign w:val="center"/>
            <w:hideMark/>
          </w:tcPr>
          <w:p w14:paraId="104105EF" w14:textId="77777777" w:rsidR="000340FE" w:rsidRPr="00553D64" w:rsidRDefault="000340FE">
            <w:pPr>
              <w:spacing w:after="0" w:line="36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</w:pPr>
            <w:r w:rsidRPr="00553D64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Evidences a direct administrative enquiry and the absence of any response or records.</w:t>
            </w:r>
          </w:p>
        </w:tc>
      </w:tr>
    </w:tbl>
    <w:p w14:paraId="317AF534" w14:textId="77777777" w:rsidR="000340FE" w:rsidRPr="00BF0AE6" w:rsidRDefault="000340FE" w:rsidP="000340FE">
      <w:pPr>
        <w:spacing w:line="360" w:lineRule="auto"/>
        <w:rPr>
          <w:rFonts w:ascii="Aptos" w:hAnsi="Aptos"/>
        </w:rPr>
      </w:pPr>
    </w:p>
    <w:p w14:paraId="0232F867" w14:textId="77777777" w:rsidR="00E33504" w:rsidRDefault="00E33504"/>
    <w:sectPr w:rsidR="00E335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FE"/>
    <w:rsid w:val="000340FE"/>
    <w:rsid w:val="004418BC"/>
    <w:rsid w:val="00446A13"/>
    <w:rsid w:val="008E70A5"/>
    <w:rsid w:val="009A3EF0"/>
    <w:rsid w:val="00B50EEF"/>
    <w:rsid w:val="00BA040D"/>
    <w:rsid w:val="00D930B2"/>
    <w:rsid w:val="00E3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0598"/>
  <w15:chartTrackingRefBased/>
  <w15:docId w15:val="{1583F237-0EA0-0547-9FA5-09B9293C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0FE"/>
  </w:style>
  <w:style w:type="paragraph" w:styleId="Heading1">
    <w:name w:val="heading 1"/>
    <w:basedOn w:val="Normal"/>
    <w:next w:val="Normal"/>
    <w:link w:val="Heading1Char"/>
    <w:uiPriority w:val="9"/>
    <w:qFormat/>
    <w:rsid w:val="00034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E33504"/>
    <w:pPr>
      <w:spacing w:after="0" w:line="240" w:lineRule="auto"/>
      <w:jc w:val="both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cPr>
      <w:shd w:val="clear" w:color="auto" w:fill="AEC7D2"/>
    </w:tcPr>
    <w:tblStylePr w:type="firstRow">
      <w:rPr>
        <w:rFonts w:ascii="Calibri" w:hAnsi="Calibri"/>
        <w:b/>
        <w:bCs/>
        <w:color w:val="FFFFFF" w:themeColor="background1"/>
        <w:sz w:val="20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AEC7D2"/>
      </w:tcPr>
    </w:tblStylePr>
  </w:style>
  <w:style w:type="table" w:customStyle="1" w:styleId="Style5">
    <w:name w:val="Style5"/>
    <w:basedOn w:val="TableNormal"/>
    <w:uiPriority w:val="99"/>
    <w:rsid w:val="00E33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Row">
      <w:tblPr/>
      <w:tcPr>
        <w:shd w:val="clear" w:color="auto" w:fill="AEC7D2"/>
      </w:tcPr>
    </w:tblStylePr>
    <w:tblStylePr w:type="band2Vert">
      <w:tblPr/>
      <w:tcPr>
        <w:shd w:val="clear" w:color="auto" w:fill="FFFFFF" w:themeFill="background1"/>
      </w:tcPr>
    </w:tblStylePr>
    <w:tblStylePr w:type="band2Horz">
      <w:pPr>
        <w:jc w:val="left"/>
      </w:pPr>
      <w:tblPr/>
      <w:tcPr>
        <w:shd w:val="clear" w:color="auto" w:fill="AEC7D2"/>
      </w:tcPr>
    </w:tblStylePr>
  </w:style>
  <w:style w:type="paragraph" w:styleId="Header">
    <w:name w:val="header"/>
    <w:basedOn w:val="Normal"/>
    <w:link w:val="HeaderChar"/>
    <w:uiPriority w:val="99"/>
    <w:unhideWhenUsed/>
    <w:rsid w:val="00446A13"/>
    <w:pPr>
      <w:tabs>
        <w:tab w:val="center" w:pos="4680"/>
        <w:tab w:val="right" w:pos="9360"/>
      </w:tabs>
      <w:spacing w:after="0" w:line="240" w:lineRule="auto"/>
    </w:pPr>
    <w:rPr>
      <w:color w:val="0F4761" w:themeColor="accent1" w:themeShade="BF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446A13"/>
    <w:rPr>
      <w:color w:val="0F4761" w:themeColor="accent1" w:themeShade="BF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034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2240</Characters>
  <Application>Microsoft Office Word</Application>
  <DocSecurity>0</DocSecurity>
  <Lines>54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Zahmoul</dc:creator>
  <cp:keywords/>
  <dc:description/>
  <cp:lastModifiedBy>Nadia Zahmoul</cp:lastModifiedBy>
  <cp:revision>2</cp:revision>
  <dcterms:created xsi:type="dcterms:W3CDTF">2025-12-15T05:57:00Z</dcterms:created>
  <dcterms:modified xsi:type="dcterms:W3CDTF">2025-12-15T05:57:00Z</dcterms:modified>
</cp:coreProperties>
</file>