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25FD" w14:textId="77777777" w:rsidR="00A9200C" w:rsidRPr="00A9200C" w:rsidRDefault="00A9200C" w:rsidP="00A9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judge’s findings regarding Coinbase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(Mr Justice MacDonald, judgment dated 18 April 2024), extracted and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anchored to the judgment paragraph numbers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EE3F8A" w14:textId="77777777" w:rsidR="00A9200C" w:rsidRPr="00A9200C" w:rsidRDefault="00F44480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480">
        <w:rPr>
          <w:rFonts w:ascii="Times New Roman" w:eastAsia="Times New Roman" w:hAnsi="Times New Roman" w:cs="Times New Roman"/>
          <w:noProof/>
          <w:kern w:val="0"/>
        </w:rPr>
        <w:pict w14:anchorId="17797E3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60868CC" w14:textId="77777777" w:rsidR="00A9200C" w:rsidRPr="00A9200C" w:rsidRDefault="00A9200C" w:rsidP="00A92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Core factual finding: Coinbase windfall and scale</w:t>
      </w:r>
    </w:p>
    <w:p w14:paraId="1BA947E2" w14:textId="77777777" w:rsidR="00A9200C" w:rsidRPr="00A9200C" w:rsidRDefault="00A9200C" w:rsidP="00A92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The judge records that the husband’s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$75,000 Topanga investment (2015)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was a vehicle holding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Coinbase shares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, and that when Coinbase floated in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2021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the value increased to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$7M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837608C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0F7FC496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(paras 9, 33)</w:t>
      </w:r>
    </w:p>
    <w:p w14:paraId="33A56D48" w14:textId="77777777" w:rsidR="00A9200C" w:rsidRPr="00A9200C" w:rsidRDefault="00A9200C" w:rsidP="00A92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also finds that upon the flotation, Topanga distributed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21,872 shares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with a value recorded as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$7,059,188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C5E453C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77930614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33)</w:t>
      </w:r>
    </w:p>
    <w:p w14:paraId="5E5D340F" w14:textId="77777777" w:rsidR="00A9200C" w:rsidRPr="00A9200C" w:rsidRDefault="00F44480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480">
        <w:rPr>
          <w:rFonts w:ascii="Times New Roman" w:eastAsia="Times New Roman" w:hAnsi="Times New Roman" w:cs="Times New Roman"/>
          <w:noProof/>
          <w:kern w:val="0"/>
        </w:rPr>
        <w:pict w14:anchorId="76B5C9C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A31AF6" w14:textId="77777777" w:rsidR="00A9200C" w:rsidRPr="00A9200C" w:rsidRDefault="00A9200C" w:rsidP="00A92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Finding on the Form E problem: omission of “nature + potential”</w:t>
      </w:r>
    </w:p>
    <w:p w14:paraId="644E1E57" w14:textId="77777777" w:rsidR="00A9200C" w:rsidRPr="00A9200C" w:rsidRDefault="00A9200C" w:rsidP="00A92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The judge records your case that Form E (March 2021) did not make clear that Topanga was a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vehicle for Coinbase equity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, and did not disclose the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value given an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imminent flotation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3EEDAAE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1D480E58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(paras 28–29)</w:t>
      </w:r>
    </w:p>
    <w:p w14:paraId="705B043B" w14:textId="77777777" w:rsidR="00A9200C" w:rsidRPr="00A9200C" w:rsidRDefault="00A9200C" w:rsidP="00A92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Crucially, he records the husband’s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concession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6EBE4976" w14:textId="77777777" w:rsidR="00A9200C" w:rsidRPr="00A9200C" w:rsidRDefault="00A9200C" w:rsidP="00A920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there were discussions/plans for a Coinbase listing,</w:t>
      </w:r>
    </w:p>
    <w:p w14:paraId="151521A4" w14:textId="77777777" w:rsidR="00A9200C" w:rsidRPr="00A9200C" w:rsidRDefault="00A9200C" w:rsidP="00A920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he was aware of that information,</w:t>
      </w:r>
    </w:p>
    <w:p w14:paraId="66B84819" w14:textId="77777777" w:rsidR="00A9200C" w:rsidRPr="00A9200C" w:rsidRDefault="00A9200C" w:rsidP="00A920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should have included it in his Form E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6B2D7C6" w14:textId="77777777" w:rsidR="00A9200C" w:rsidRPr="00A9200C" w:rsidRDefault="00A9200C" w:rsidP="00A9200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560CA7F6" w14:textId="77777777" w:rsidR="00A9200C" w:rsidRPr="00A9200C" w:rsidRDefault="00A9200C" w:rsidP="00A9200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29; repeated in findings at para 65)</w:t>
      </w:r>
    </w:p>
    <w:p w14:paraId="3E946AD3" w14:textId="77777777" w:rsidR="00A9200C" w:rsidRPr="00A9200C" w:rsidRDefault="00A9200C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pict w14:anchorId="460F3FD6">
          <v:rect id="_x0000_i1027" style="width:0;height:1.5pt" o:hralign="center" o:hrstd="t" o:hr="t" fillcolor="#a0a0a0" stroked="f"/>
        </w:pict>
      </w:r>
    </w:p>
    <w:p w14:paraId="5ED2EE0D" w14:textId="77777777" w:rsidR="00A9200C" w:rsidRPr="00A9200C" w:rsidRDefault="00A9200C" w:rsidP="00A92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3) Finding on timing: disclosure was late, and “to be deprecated”</w:t>
      </w:r>
    </w:p>
    <w:p w14:paraId="5D035AE9" w14:textId="77777777" w:rsidR="00A9200C" w:rsidRPr="00A9200C" w:rsidRDefault="00A9200C" w:rsidP="00A9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The judge makes a clear, express finding that:</w:t>
      </w:r>
    </w:p>
    <w:p w14:paraId="64C395F4" w14:textId="77777777" w:rsidR="00A9200C" w:rsidRPr="00A9200C" w:rsidRDefault="00A9200C" w:rsidP="00A92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the wife was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notified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of the flotation on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 April 2021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and the substantial increase in value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until 16 July 2021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(updating disclosure before the private FDR). </w:t>
      </w:r>
    </w:p>
    <w:p w14:paraId="3E5C8E67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7FCFDA4F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(paras 35, 65)</w:t>
      </w:r>
    </w:p>
    <w:p w14:paraId="63F7012F" w14:textId="77777777" w:rsidR="00A9200C" w:rsidRPr="00A9200C" w:rsidRDefault="00A9200C" w:rsidP="00A92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he is satisfied the disclosure of:</w:t>
      </w:r>
    </w:p>
    <w:p w14:paraId="15F544EA" w14:textId="77777777" w:rsidR="00A9200C" w:rsidRPr="00A9200C" w:rsidRDefault="00A9200C" w:rsidP="00A920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value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(pre-float) and</w:t>
      </w:r>
    </w:p>
    <w:p w14:paraId="7D617A81" w14:textId="77777777" w:rsidR="00A9200C" w:rsidRPr="00A9200C" w:rsidRDefault="00A9200C" w:rsidP="00A920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value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(post-float)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“came later than should have been the case”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and that this late disclosure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“is to be deprecated.”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A59B3B" w14:textId="77777777" w:rsidR="00A9200C" w:rsidRPr="00A9200C" w:rsidRDefault="00A9200C" w:rsidP="00A9200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2F40DD5B" w14:textId="77777777" w:rsidR="00A9200C" w:rsidRPr="00A9200C" w:rsidRDefault="00A9200C" w:rsidP="00A9200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66)</w:t>
      </w:r>
    </w:p>
    <w:p w14:paraId="6678CB5E" w14:textId="77777777" w:rsidR="00A9200C" w:rsidRPr="00A9200C" w:rsidRDefault="00A9200C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pict w14:anchorId="5210D6D3">
          <v:rect id="_x0000_i1028" style="width:0;height:1.5pt" o:hralign="center" o:hrstd="t" o:hr="t" fillcolor="#a0a0a0" stroked="f"/>
        </w:pict>
      </w:r>
    </w:p>
    <w:p w14:paraId="431EB0C9" w14:textId="77777777" w:rsidR="00A9200C" w:rsidRPr="00A9200C" w:rsidRDefault="00A9200C" w:rsidP="00A92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The judge’s characterisation: “late disclosure” not “egregious non-disclosure”</w:t>
      </w:r>
    </w:p>
    <w:p w14:paraId="0B70EE7B" w14:textId="77777777" w:rsidR="00A9200C" w:rsidRPr="00A9200C" w:rsidRDefault="00A9200C" w:rsidP="00A9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This is the key evaluative finding:</w:t>
      </w:r>
    </w:p>
    <w:p w14:paraId="0679A7E6" w14:textId="77777777" w:rsidR="00A9200C" w:rsidRPr="00A9200C" w:rsidRDefault="00A9200C" w:rsidP="00A92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characterises the husband’s conduct regarding Coinbase as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“inappropriately late disclosure”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“egregious non-disclosure”. </w:t>
      </w:r>
    </w:p>
    <w:p w14:paraId="042AD369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79FD271A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66)</w:t>
      </w:r>
    </w:p>
    <w:p w14:paraId="7FD206FA" w14:textId="77777777" w:rsidR="00A9200C" w:rsidRPr="00A9200C" w:rsidRDefault="00A9200C" w:rsidP="00A92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gives his central reason: although late, the increased value was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disclosed on 16 July 2021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as part of updating disclosure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to the FDR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“has been taken into account… since that date.”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62B2A9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606CD163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66)</w:t>
      </w:r>
    </w:p>
    <w:p w14:paraId="49A9B48E" w14:textId="77777777" w:rsidR="00A9200C" w:rsidRPr="00A9200C" w:rsidRDefault="00A9200C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0E2D93">
          <v:rect id="_x0000_i1029" style="width:0;height:1.5pt" o:hralign="center" o:hrstd="t" o:hr="t" fillcolor="#a0a0a0" stroked="f"/>
        </w:pict>
      </w:r>
    </w:p>
    <w:p w14:paraId="0E809384" w14:textId="77777777" w:rsidR="00A9200C" w:rsidRPr="00A9200C" w:rsidRDefault="00A9200C" w:rsidP="00A92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Procedural impact finding: Coinbase late disclosure justified initial concern</w:t>
      </w:r>
    </w:p>
    <w:p w14:paraId="75A7DFF4" w14:textId="77777777" w:rsidR="00A9200C" w:rsidRPr="00A9200C" w:rsidRDefault="00A9200C" w:rsidP="00A92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The judge accepts that the late disclosure of Coinbase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legitimately caused concern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for you about transparency. </w:t>
      </w:r>
    </w:p>
    <w:p w14:paraId="44478BE7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07CEE4EE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80)</w:t>
      </w:r>
    </w:p>
    <w:p w14:paraId="273120EE" w14:textId="77777777" w:rsidR="00A9200C" w:rsidRPr="00A9200C" w:rsidRDefault="00A9200C" w:rsidP="00A92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finds it was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reasonable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for you to seek further information </w:t>
      </w:r>
      <w:r w:rsidRPr="00A920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the late Coinbase disclosure. </w:t>
      </w:r>
    </w:p>
    <w:p w14:paraId="22C91338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16F30D22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80)</w:t>
      </w:r>
    </w:p>
    <w:p w14:paraId="054B9743" w14:textId="77777777" w:rsidR="00A9200C" w:rsidRPr="00A9200C" w:rsidRDefault="00A9200C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pict w14:anchorId="19F740D6">
          <v:rect id="_x0000_i1030" style="width:0;height:1.5pt" o:hralign="center" o:hrstd="t" o:hr="t" fillcolor="#a0a0a0" stroked="f"/>
        </w:pict>
      </w:r>
    </w:p>
    <w:p w14:paraId="3FF6AAE0" w14:textId="77777777" w:rsidR="00A9200C" w:rsidRPr="00A9200C" w:rsidRDefault="00A9200C" w:rsidP="00A92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Litigation-cost consequences: Coinbase is part of the justification, but limited</w:t>
      </w:r>
    </w:p>
    <w:p w14:paraId="75061C6D" w14:textId="77777777" w:rsidR="00A9200C" w:rsidRPr="00A9200C" w:rsidRDefault="00A9200C" w:rsidP="00A92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finds that </w:t>
      </w:r>
      <w:r w:rsidRPr="00A920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that initial justified phase, your approach (in his view) went beyond what was reasonable; and he uses this (together with other case-management findings) to justify an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add-back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for legal costs. </w:t>
      </w:r>
    </w:p>
    <w:p w14:paraId="067D85A0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187C008D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(paras 80–85)</w:t>
      </w:r>
    </w:p>
    <w:p w14:paraId="682DE841" w14:textId="77777777" w:rsidR="00A9200C" w:rsidRPr="00A9200C" w:rsidRDefault="00A9200C" w:rsidP="00A92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expressly treats the husband’s Coinbase conduct as relevant context when deciding the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amount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of add-back: some of your additional expenditure was justified because Coinbase was a substantial late-disclosed asset. </w:t>
      </w:r>
    </w:p>
    <w:p w14:paraId="4433E6F2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162FA9E2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85)</w:t>
      </w:r>
    </w:p>
    <w:p w14:paraId="3D950005" w14:textId="77777777" w:rsidR="00A9200C" w:rsidRPr="00A9200C" w:rsidRDefault="00A9200C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pict w14:anchorId="3D7F22E4">
          <v:rect id="_x0000_i1031" style="width:0;height:1.5pt" o:hralign="center" o:hrstd="t" o:hr="t" fillcolor="#a0a0a0" stroked="f"/>
        </w:pict>
      </w:r>
    </w:p>
    <w:p w14:paraId="182E8D25" w14:textId="77777777" w:rsidR="00A9200C" w:rsidRPr="00A9200C" w:rsidRDefault="00A9200C" w:rsidP="00A92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7) Findings on wider inference: Coinbase doesn’t justify “tens of millions” inference</w:t>
      </w:r>
    </w:p>
    <w:p w14:paraId="4CE9894D" w14:textId="77777777" w:rsidR="00A9200C" w:rsidRPr="00A9200C" w:rsidRDefault="00A9200C" w:rsidP="00A92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finds the overall matrimonial assets are those in the husband’s ES2 and rejects the case that there are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tens of millions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of undisclosed assets. </w:t>
      </w:r>
    </w:p>
    <w:p w14:paraId="3645260A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15D12A06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(paras 63, 75–76)</w:t>
      </w:r>
    </w:p>
    <w:p w14:paraId="1445DA3C" w14:textId="77777777" w:rsidR="00A9200C" w:rsidRPr="00A9200C" w:rsidRDefault="00A9200C" w:rsidP="00A92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says Coinbase (late disclosure), Gemini (incomplete description), and XAPO (oversight)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be extrapolated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a finding of tens of millions of undisclosed crypto assets; insufficient evidential foundation. </w:t>
      </w:r>
    </w:p>
    <w:p w14:paraId="56D1F029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4EF72FDB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(paras 72–75)</w:t>
      </w:r>
    </w:p>
    <w:p w14:paraId="7BF3D207" w14:textId="77777777" w:rsidR="00A9200C" w:rsidRPr="00A9200C" w:rsidRDefault="00F44480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480">
        <w:rPr>
          <w:rFonts w:ascii="Times New Roman" w:eastAsia="Times New Roman" w:hAnsi="Times New Roman" w:cs="Times New Roman"/>
          <w:noProof/>
          <w:kern w:val="0"/>
        </w:rPr>
        <w:pict w14:anchorId="33EEB29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3CD3ED8" w14:textId="77777777" w:rsidR="00A9200C" w:rsidRPr="00A9200C" w:rsidRDefault="00A9200C" w:rsidP="00A92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Coinbase tax handling in the final order reasoning</w:t>
      </w:r>
    </w:p>
    <w:p w14:paraId="03F0B851" w14:textId="77777777" w:rsidR="00A9200C" w:rsidRPr="00A9200C" w:rsidRDefault="00A9200C" w:rsidP="00A92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He provides for a pension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set-aside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to meet the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tax liability arising from Coinbase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(specified as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£345,750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to be held in escrow for Coinbase tax). </w:t>
      </w:r>
    </w:p>
    <w:p w14:paraId="44DBB8B8" w14:textId="77777777" w:rsidR="00A9200C" w:rsidRPr="00A9200C" w:rsidRDefault="00A9200C" w:rsidP="00A92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Zahmoul - Judgment - Final - 18…</w:t>
      </w:r>
    </w:p>
    <w:p w14:paraId="3C4A34A6" w14:textId="77777777" w:rsidR="00A9200C" w:rsidRPr="00A9200C" w:rsidRDefault="00A9200C" w:rsidP="00A920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(para 89(viii)(a); also para 108)</w:t>
      </w:r>
    </w:p>
    <w:p w14:paraId="05D29AED" w14:textId="77777777" w:rsidR="00A9200C" w:rsidRPr="00A9200C" w:rsidRDefault="00F44480" w:rsidP="00A92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480">
        <w:rPr>
          <w:rFonts w:ascii="Times New Roman" w:eastAsia="Times New Roman" w:hAnsi="Times New Roman" w:cs="Times New Roman"/>
          <w:noProof/>
          <w:kern w:val="0"/>
        </w:rPr>
        <w:pict w14:anchorId="155D5EC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B8E28AC" w14:textId="77777777" w:rsidR="00A9200C" w:rsidRPr="00A9200C" w:rsidRDefault="00A9200C" w:rsidP="00A9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now produce a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“Coinbase Findings Extract”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 you can paste into your appeal documents, in this format:</w:t>
      </w:r>
    </w:p>
    <w:p w14:paraId="17BB3FA1" w14:textId="77777777" w:rsidR="00A9200C" w:rsidRPr="00A9200C" w:rsidRDefault="00A9200C" w:rsidP="00A92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 / paragraph reference</w:t>
      </w:r>
    </w:p>
    <w:p w14:paraId="0584C19C" w14:textId="77777777" w:rsidR="00A9200C" w:rsidRPr="00A9200C" w:rsidRDefault="00A9200C" w:rsidP="00A92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judge decided</w:t>
      </w:r>
    </w:p>
    <w:p w14:paraId="5104210A" w14:textId="77777777" w:rsidR="00A9200C" w:rsidRPr="00A9200C" w:rsidRDefault="00A9200C" w:rsidP="00A92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he decided it</w:t>
      </w:r>
    </w:p>
    <w:p w14:paraId="26744C49" w14:textId="77777777" w:rsidR="00A9200C" w:rsidRPr="00A9200C" w:rsidRDefault="00A9200C" w:rsidP="00A920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connects to grounds of appeal (error of characterisation / inadequate reasons / irrationality / procedural unfairness)</w:t>
      </w:r>
    </w:p>
    <w:p w14:paraId="569F4337" w14:textId="77777777" w:rsidR="00A9200C" w:rsidRPr="00A9200C" w:rsidRDefault="00A9200C" w:rsidP="00A92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Just say “do it” and tell me whether you want it framed for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appeal of financial remedy judgment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costs appeal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A92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 JR narrative</w:t>
      </w:r>
      <w:r w:rsidRPr="00A920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08458" w14:textId="77777777" w:rsidR="00E33504" w:rsidRDefault="00E33504"/>
    <w:sectPr w:rsidR="00E33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E5B"/>
    <w:multiLevelType w:val="multilevel"/>
    <w:tmpl w:val="F92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231BD"/>
    <w:multiLevelType w:val="multilevel"/>
    <w:tmpl w:val="C9A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6206B"/>
    <w:multiLevelType w:val="multilevel"/>
    <w:tmpl w:val="A5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50B4C"/>
    <w:multiLevelType w:val="multilevel"/>
    <w:tmpl w:val="280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3FA7"/>
    <w:multiLevelType w:val="multilevel"/>
    <w:tmpl w:val="52D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3353C"/>
    <w:multiLevelType w:val="multilevel"/>
    <w:tmpl w:val="032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4707D"/>
    <w:multiLevelType w:val="multilevel"/>
    <w:tmpl w:val="96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A1E79"/>
    <w:multiLevelType w:val="multilevel"/>
    <w:tmpl w:val="8C1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611A9"/>
    <w:multiLevelType w:val="multilevel"/>
    <w:tmpl w:val="6C5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7191">
    <w:abstractNumId w:val="0"/>
  </w:num>
  <w:num w:numId="2" w16cid:durableId="952253091">
    <w:abstractNumId w:val="7"/>
  </w:num>
  <w:num w:numId="3" w16cid:durableId="1824930164">
    <w:abstractNumId w:val="3"/>
  </w:num>
  <w:num w:numId="4" w16cid:durableId="567306978">
    <w:abstractNumId w:val="4"/>
  </w:num>
  <w:num w:numId="5" w16cid:durableId="1700622201">
    <w:abstractNumId w:val="2"/>
  </w:num>
  <w:num w:numId="6" w16cid:durableId="502283740">
    <w:abstractNumId w:val="1"/>
  </w:num>
  <w:num w:numId="7" w16cid:durableId="1403799449">
    <w:abstractNumId w:val="6"/>
  </w:num>
  <w:num w:numId="8" w16cid:durableId="1329676274">
    <w:abstractNumId w:val="8"/>
  </w:num>
  <w:num w:numId="9" w16cid:durableId="1660815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0C"/>
    <w:rsid w:val="00446A13"/>
    <w:rsid w:val="008E70A5"/>
    <w:rsid w:val="00A47EFA"/>
    <w:rsid w:val="00A9200C"/>
    <w:rsid w:val="00BA040D"/>
    <w:rsid w:val="00E33504"/>
    <w:rsid w:val="00F4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C434"/>
  <w15:chartTrackingRefBased/>
  <w15:docId w15:val="{FDF9E2C4-2086-964F-AC18-15742C0B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E33504"/>
    <w:pPr>
      <w:spacing w:after="0" w:line="240" w:lineRule="auto"/>
      <w:jc w:val="both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cPr>
      <w:shd w:val="clear" w:color="auto" w:fill="AEC7D2"/>
    </w:tcPr>
    <w:tblStylePr w:type="firstRow">
      <w:rPr>
        <w:rFonts w:ascii="Calibri" w:hAnsi="Calibri"/>
        <w:b/>
        <w:bCs/>
        <w:color w:val="FFFFFF" w:themeColor="background1"/>
        <w:sz w:val="20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AEC7D2"/>
      </w:tcPr>
    </w:tblStylePr>
  </w:style>
  <w:style w:type="table" w:customStyle="1" w:styleId="Style5">
    <w:name w:val="Style5"/>
    <w:basedOn w:val="TableNormal"/>
    <w:uiPriority w:val="99"/>
    <w:rsid w:val="00E33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Row">
      <w:tblPr/>
      <w:tcPr>
        <w:shd w:val="clear" w:color="auto" w:fill="AEC7D2"/>
      </w:tcPr>
    </w:tblStylePr>
    <w:tblStylePr w:type="band2Vert">
      <w:tblPr/>
      <w:tcPr>
        <w:shd w:val="clear" w:color="auto" w:fill="FFFFFF" w:themeFill="background1"/>
      </w:tcPr>
    </w:tblStylePr>
    <w:tblStylePr w:type="band2Horz">
      <w:pPr>
        <w:jc w:val="left"/>
      </w:pPr>
      <w:tblPr/>
      <w:tcPr>
        <w:shd w:val="clear" w:color="auto" w:fill="AEC7D2"/>
      </w:tcPr>
    </w:tblStylePr>
  </w:style>
  <w:style w:type="paragraph" w:styleId="Header">
    <w:name w:val="header"/>
    <w:basedOn w:val="Normal"/>
    <w:link w:val="HeaderChar"/>
    <w:uiPriority w:val="99"/>
    <w:unhideWhenUsed/>
    <w:rsid w:val="00446A13"/>
    <w:pPr>
      <w:tabs>
        <w:tab w:val="center" w:pos="4680"/>
        <w:tab w:val="right" w:pos="9360"/>
      </w:tabs>
      <w:spacing w:after="0" w:line="240" w:lineRule="auto"/>
    </w:pPr>
    <w:rPr>
      <w:color w:val="0F4761" w:themeColor="accent1" w:themeShade="BF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446A13"/>
    <w:rPr>
      <w:color w:val="0F4761" w:themeColor="accent1" w:themeShade="BF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92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0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2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200C"/>
    <w:rPr>
      <w:b/>
      <w:bCs/>
    </w:rPr>
  </w:style>
  <w:style w:type="character" w:customStyle="1" w:styleId="relative">
    <w:name w:val="relative"/>
    <w:basedOn w:val="DefaultParagraphFont"/>
    <w:rsid w:val="00A9200C"/>
  </w:style>
  <w:style w:type="paragraph" w:customStyle="1" w:styleId="not-prose">
    <w:name w:val="not-prose"/>
    <w:basedOn w:val="Normal"/>
    <w:rsid w:val="00A92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920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745</Words>
  <Characters>3811</Characters>
  <Application>Microsoft Office Word</Application>
  <DocSecurity>0</DocSecurity>
  <Lines>108</Lines>
  <Paragraphs>79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Zahmoul</dc:creator>
  <cp:keywords/>
  <dc:description/>
  <cp:lastModifiedBy>Nadia Zahmoul</cp:lastModifiedBy>
  <cp:revision>1</cp:revision>
  <dcterms:created xsi:type="dcterms:W3CDTF">2026-01-11T00:22:00Z</dcterms:created>
  <dcterms:modified xsi:type="dcterms:W3CDTF">2026-01-11T00:22:00Z</dcterms:modified>
</cp:coreProperties>
</file>