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1BDF0" w14:textId="77777777" w:rsidR="00D645D8" w:rsidRPr="00D645D8" w:rsidRDefault="00D645D8" w:rsidP="00D645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645D8">
        <w:rPr>
          <w:rFonts w:ascii="Times New Roman" w:eastAsia="Times New Roman" w:hAnsi="Times New Roman" w:cs="Times New Roman"/>
          <w:b/>
          <w:bCs/>
          <w:kern w:val="36"/>
          <w:sz w:val="48"/>
          <w:szCs w:val="48"/>
          <w14:ligatures w14:val="none"/>
        </w:rPr>
        <w:t>JR NARRATIVE — COINBASE DISCLOSURE AND PROCEDURAL UNFAIRNESS</w:t>
      </w:r>
    </w:p>
    <w:p w14:paraId="39605F0E" w14:textId="77777777" w:rsidR="00D645D8" w:rsidRPr="00D645D8" w:rsidRDefault="00D645D8" w:rsidP="00D645D8">
      <w:pPr>
        <w:spacing w:before="100" w:beforeAutospacing="1" w:after="100" w:afterAutospacing="1" w:line="240" w:lineRule="auto"/>
        <w:rPr>
          <w:rFonts w:ascii="Times New Roman" w:eastAsia="Times New Roman" w:hAnsi="Times New Roman" w:cs="Times New Roman"/>
          <w:kern w:val="0"/>
          <w14:ligatures w14:val="none"/>
        </w:rPr>
      </w:pPr>
      <w:r w:rsidRPr="00D645D8">
        <w:rPr>
          <w:rFonts w:ascii="Times New Roman" w:eastAsia="Times New Roman" w:hAnsi="Times New Roman" w:cs="Times New Roman"/>
          <w:i/>
          <w:iCs/>
          <w:kern w:val="0"/>
          <w14:ligatures w14:val="none"/>
        </w:rPr>
        <w:t>(Aligned with Ground 18 of the appeal)</w:t>
      </w:r>
    </w:p>
    <w:p w14:paraId="412B5EC6" w14:textId="77777777" w:rsidR="00D645D8" w:rsidRPr="00D645D8" w:rsidRDefault="00D645D8" w:rsidP="00D645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45D8">
        <w:rPr>
          <w:rFonts w:ascii="Times New Roman" w:eastAsia="Times New Roman" w:hAnsi="Times New Roman" w:cs="Times New Roman"/>
          <w:b/>
          <w:bCs/>
          <w:kern w:val="0"/>
          <w:sz w:val="27"/>
          <w:szCs w:val="27"/>
          <w14:ligatures w14:val="none"/>
        </w:rPr>
        <w:t>Failure to Apply the Correct Legal Test to Material Disclosure</w:t>
      </w:r>
    </w:p>
    <w:p w14:paraId="37DF9EBB" w14:textId="77777777" w:rsidR="00D645D8" w:rsidRPr="00D645D8" w:rsidRDefault="00D645D8" w:rsidP="00D645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45D8">
        <w:rPr>
          <w:rFonts w:ascii="Times New Roman" w:eastAsia="Times New Roman" w:hAnsi="Times New Roman" w:cs="Times New Roman"/>
          <w:kern w:val="0"/>
          <w14:ligatures w14:val="none"/>
        </w:rPr>
        <w:t>In the underlying proceedings, the court found that the Respondent held a very substantial asset comprising Coinbase equity, ultimately valued at approximately $7 million, that the Respondent knew of the anticipated flotation and potential for materially higher value at the time of his Form E, and that the Claimant was not informed of the true position until July 2021.</w:t>
      </w:r>
    </w:p>
    <w:p w14:paraId="18D94CBE" w14:textId="77777777" w:rsidR="00D645D8" w:rsidRPr="00D645D8" w:rsidRDefault="00D645D8" w:rsidP="00D645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45D8">
        <w:rPr>
          <w:rFonts w:ascii="Times New Roman" w:eastAsia="Times New Roman" w:hAnsi="Times New Roman" w:cs="Times New Roman"/>
          <w:kern w:val="0"/>
          <w14:ligatures w14:val="none"/>
        </w:rPr>
        <w:t>Notwithstanding those findings, the court characterised the Respondent’s conduct as “inappropriately late disclosure”, rather than as non-disclosure or a knowing misstatement. In doing so, the court treated the fact that the increased value was disclosed prior to the FDR as determinative.</w:t>
      </w:r>
    </w:p>
    <w:p w14:paraId="6361E293" w14:textId="77777777" w:rsidR="00D645D8" w:rsidRPr="00D645D8" w:rsidRDefault="00D645D8" w:rsidP="00D645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45D8">
        <w:rPr>
          <w:rFonts w:ascii="Times New Roman" w:eastAsia="Times New Roman" w:hAnsi="Times New Roman" w:cs="Times New Roman"/>
          <w:kern w:val="0"/>
          <w14:ligatures w14:val="none"/>
        </w:rPr>
        <w:t>That characterisation reflects a failure to apply the correct legal test. Where a party knows that an asset is of materially higher value, the legally relevant issue is whether the disclosure made under a statement of truth was misleading at the time it was made and during subsequent negotiations. Subsequent disclosure may go to mitigation, but it cannot retrospectively cure the legal significance of a knowing misstatement or its distorting effect on the opposing party’s ability to participate effectively and on an informed basis.</w:t>
      </w:r>
    </w:p>
    <w:p w14:paraId="3D3DFB2B" w14:textId="77777777" w:rsidR="00D645D8" w:rsidRPr="00D645D8" w:rsidRDefault="00D645D8" w:rsidP="00D645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45D8">
        <w:rPr>
          <w:rFonts w:ascii="Times New Roman" w:eastAsia="Times New Roman" w:hAnsi="Times New Roman" w:cs="Times New Roman"/>
          <w:kern w:val="0"/>
          <w14:ligatures w14:val="none"/>
        </w:rPr>
        <w:t>The court did not engage with the issue of knowledge and intent, nor did it explain why a disclosure made with admitted awareness of materially higher value could properly be downgraded to mere lateness. As a result, the decision-making process failed to grapple with the substance of the Claimant’s complaint and applied an incorrect analytical focus.</w:t>
      </w:r>
    </w:p>
    <w:p w14:paraId="0DD96B54" w14:textId="77777777" w:rsidR="00D645D8" w:rsidRPr="00D645D8" w:rsidRDefault="00D645D8" w:rsidP="00D645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45D8">
        <w:rPr>
          <w:rFonts w:ascii="Times New Roman" w:eastAsia="Times New Roman" w:hAnsi="Times New Roman" w:cs="Times New Roman"/>
          <w:b/>
          <w:bCs/>
          <w:kern w:val="0"/>
          <w:sz w:val="27"/>
          <w:szCs w:val="27"/>
          <w14:ligatures w14:val="none"/>
        </w:rPr>
        <w:t>Consequences for Procedural Fairness and Equality of Arms</w:t>
      </w:r>
    </w:p>
    <w:p w14:paraId="68F72CA9" w14:textId="77777777" w:rsidR="00D645D8" w:rsidRPr="00D645D8" w:rsidRDefault="00D645D8" w:rsidP="00D645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45D8">
        <w:rPr>
          <w:rFonts w:ascii="Times New Roman" w:eastAsia="Times New Roman" w:hAnsi="Times New Roman" w:cs="Times New Roman"/>
          <w:kern w:val="0"/>
          <w14:ligatures w14:val="none"/>
        </w:rPr>
        <w:t>The mischaracterisation of the disclosure failure had wider procedural consequences. By minimising the seriousness of the Respondent’s disclosure conduct, the court constrained its assessment of evidential imbalance, rejected adverse inferences without adequate consideration, and treated the Claimant’s scrutiny and mistrust as disproportionate rather than as a reasonable response to a serious defect.</w:t>
      </w:r>
    </w:p>
    <w:p w14:paraId="6D79439B" w14:textId="77777777" w:rsidR="00D645D8" w:rsidRPr="00D645D8" w:rsidRDefault="00D645D8" w:rsidP="00D645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45D8">
        <w:rPr>
          <w:rFonts w:ascii="Times New Roman" w:eastAsia="Times New Roman" w:hAnsi="Times New Roman" w:cs="Times New Roman"/>
          <w:kern w:val="0"/>
          <w14:ligatures w14:val="none"/>
        </w:rPr>
        <w:t>This occurred in circumstances where the Claimant was a disabled litigant whose effective participation depended on accurate and timely disclosure of material financial information. The failure to apply the correct legal test therefore undermined equality of arms and the Claimant’s right to effective participation in the proceedings.</w:t>
      </w:r>
    </w:p>
    <w:p w14:paraId="602386F2" w14:textId="77777777" w:rsidR="00D645D8" w:rsidRPr="00D645D8" w:rsidRDefault="00D645D8" w:rsidP="00D645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45D8">
        <w:rPr>
          <w:rFonts w:ascii="Times New Roman" w:eastAsia="Times New Roman" w:hAnsi="Times New Roman" w:cs="Times New Roman"/>
          <w:kern w:val="0"/>
          <w14:ligatures w14:val="none"/>
        </w:rPr>
        <w:t>The resulting procedural unfairness was not merely theoretical. It shaped the evidential framework within which decisions were made and contributed to adverse findings against the Claimant in a process that did not properly account for the consequences of a knowing misstatement at a critical stage.</w:t>
      </w:r>
    </w:p>
    <w:p w14:paraId="4DFCD27F" w14:textId="77777777" w:rsidR="00D645D8" w:rsidRPr="00D645D8" w:rsidRDefault="00C05F9D" w:rsidP="00D645D8">
      <w:pPr>
        <w:spacing w:after="0" w:line="240" w:lineRule="auto"/>
        <w:rPr>
          <w:rFonts w:ascii="Times New Roman" w:eastAsia="Times New Roman" w:hAnsi="Times New Roman" w:cs="Times New Roman"/>
          <w:kern w:val="0"/>
          <w14:ligatures w14:val="none"/>
        </w:rPr>
      </w:pPr>
      <w:r>
        <w:rPr>
          <w:noProof/>
        </w:rPr>
      </w:r>
      <w:r>
        <w:pict w14:anchorId="0619E9FA">
          <v:rect id="Horizontal Line 1"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243125" w14:textId="77777777" w:rsidR="00D645D8" w:rsidRPr="00D645D8" w:rsidRDefault="00D645D8" w:rsidP="00D645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45D8">
        <w:rPr>
          <w:rFonts w:ascii="Times New Roman" w:eastAsia="Times New Roman" w:hAnsi="Times New Roman" w:cs="Times New Roman"/>
          <w:b/>
          <w:bCs/>
          <w:kern w:val="0"/>
          <w:sz w:val="36"/>
          <w:szCs w:val="36"/>
          <w14:ligatures w14:val="none"/>
        </w:rPr>
        <w:t>One-sentence alignment anchor (optional, but useful)</w:t>
      </w:r>
    </w:p>
    <w:p w14:paraId="427E3E92" w14:textId="77777777" w:rsidR="00D645D8" w:rsidRPr="00D645D8" w:rsidRDefault="00D645D8" w:rsidP="00D645D8">
      <w:pPr>
        <w:spacing w:before="100" w:beforeAutospacing="1" w:after="100" w:afterAutospacing="1" w:line="240" w:lineRule="auto"/>
        <w:rPr>
          <w:rFonts w:ascii="Times New Roman" w:eastAsia="Times New Roman" w:hAnsi="Times New Roman" w:cs="Times New Roman"/>
          <w:kern w:val="0"/>
          <w14:ligatures w14:val="none"/>
        </w:rPr>
      </w:pPr>
      <w:r w:rsidRPr="00D645D8">
        <w:rPr>
          <w:rFonts w:ascii="Times New Roman" w:eastAsia="Times New Roman" w:hAnsi="Times New Roman" w:cs="Times New Roman"/>
          <w:kern w:val="0"/>
          <w14:ligatures w14:val="none"/>
        </w:rPr>
        <w:t>The same error of characterisation that underpins Ground 18 of the appeal also constitutes a public-law failure to apply the correct legal test to material disclosure, resulting in procedural unfairness and inequality of arms contrary to Article 6.</w:t>
      </w:r>
    </w:p>
    <w:p w14:paraId="003330B3" w14:textId="77777777" w:rsidR="00D645D8" w:rsidRPr="00D645D8" w:rsidRDefault="00C05F9D" w:rsidP="00D645D8">
      <w:pPr>
        <w:spacing w:after="0" w:line="240" w:lineRule="auto"/>
        <w:rPr>
          <w:rFonts w:ascii="Times New Roman" w:eastAsia="Times New Roman" w:hAnsi="Times New Roman" w:cs="Times New Roman"/>
          <w:kern w:val="0"/>
          <w14:ligatures w14:val="none"/>
        </w:rPr>
      </w:pPr>
      <w:r>
        <w:rPr>
          <w:noProof/>
        </w:rPr>
      </w:r>
      <w:r>
        <w:pict w14:anchorId="14D35A88">
          <v:rect id="Horizontal Line 2"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82B320" w14:textId="43DE5FD2" w:rsidR="00A163F7" w:rsidRDefault="00A163F7">
      <w:r>
        <w:br w:type="page"/>
      </w:r>
    </w:p>
    <w:p w14:paraId="7B558DE5" w14:textId="77777777" w:rsidR="00A163F7" w:rsidRPr="00A163F7" w:rsidRDefault="00A163F7" w:rsidP="00A163F7">
      <w:p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kern w:val="0"/>
          <w14:ligatures w14:val="none"/>
        </w:rPr>
        <w:lastRenderedPageBreak/>
        <w:t xml:space="preserve">Understood. Below are </w:t>
      </w:r>
      <w:r w:rsidRPr="00A163F7">
        <w:rPr>
          <w:rFonts w:ascii="Times New Roman" w:eastAsia="Times New Roman" w:hAnsi="Times New Roman" w:cs="Times New Roman"/>
          <w:b/>
          <w:bCs/>
          <w:kern w:val="0"/>
          <w14:ligatures w14:val="none"/>
        </w:rPr>
        <w:t>both</w:t>
      </w:r>
      <w:r w:rsidRPr="00A163F7">
        <w:rPr>
          <w:rFonts w:ascii="Times New Roman" w:eastAsia="Times New Roman" w:hAnsi="Times New Roman" w:cs="Times New Roman"/>
          <w:kern w:val="0"/>
          <w14:ligatures w14:val="none"/>
        </w:rPr>
        <w:t xml:space="preserve">, delivered in their </w:t>
      </w:r>
      <w:r w:rsidRPr="00A163F7">
        <w:rPr>
          <w:rFonts w:ascii="Times New Roman" w:eastAsia="Times New Roman" w:hAnsi="Times New Roman" w:cs="Times New Roman"/>
          <w:b/>
          <w:bCs/>
          <w:kern w:val="0"/>
          <w14:ligatures w14:val="none"/>
        </w:rPr>
        <w:t>final, permission-stage-ready form</w:t>
      </w:r>
      <w:r w:rsidRPr="00A163F7">
        <w:rPr>
          <w:rFonts w:ascii="Times New Roman" w:eastAsia="Times New Roman" w:hAnsi="Times New Roman" w:cs="Times New Roman"/>
          <w:kern w:val="0"/>
          <w14:ligatures w14:val="none"/>
        </w:rPr>
        <w:t xml:space="preserve"> — tightened, neutral, and fully aligned. You can paste these </w:t>
      </w:r>
      <w:r w:rsidRPr="00A163F7">
        <w:rPr>
          <w:rFonts w:ascii="Times New Roman" w:eastAsia="Times New Roman" w:hAnsi="Times New Roman" w:cs="Times New Roman"/>
          <w:b/>
          <w:bCs/>
          <w:kern w:val="0"/>
          <w14:ligatures w14:val="none"/>
        </w:rPr>
        <w:t>verbatim</w:t>
      </w:r>
      <w:r w:rsidRPr="00A163F7">
        <w:rPr>
          <w:rFonts w:ascii="Times New Roman" w:eastAsia="Times New Roman" w:hAnsi="Times New Roman" w:cs="Times New Roman"/>
          <w:kern w:val="0"/>
          <w14:ligatures w14:val="none"/>
        </w:rPr>
        <w:t>.</w:t>
      </w:r>
    </w:p>
    <w:p w14:paraId="1C318CA5" w14:textId="77777777" w:rsidR="00A163F7" w:rsidRPr="00A163F7" w:rsidRDefault="00C05F9D" w:rsidP="00A163F7">
      <w:pPr>
        <w:spacing w:after="0" w:line="240" w:lineRule="auto"/>
        <w:rPr>
          <w:rFonts w:ascii="Times New Roman" w:eastAsia="Times New Roman" w:hAnsi="Times New Roman" w:cs="Times New Roman"/>
          <w:kern w:val="0"/>
          <w14:ligatures w14:val="none"/>
        </w:rPr>
      </w:pPr>
      <w:r>
        <w:rPr>
          <w:noProof/>
        </w:rPr>
      </w:r>
      <w:r>
        <w:pict w14:anchorId="06B5601E">
          <v:rect id="Horizontal Line 5"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ED528F" w14:textId="77777777" w:rsidR="00A163F7" w:rsidRPr="00A163F7" w:rsidRDefault="00A163F7" w:rsidP="00A163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63F7">
        <w:rPr>
          <w:rFonts w:ascii="Times New Roman" w:eastAsia="Times New Roman" w:hAnsi="Times New Roman" w:cs="Times New Roman"/>
          <w:b/>
          <w:bCs/>
          <w:kern w:val="36"/>
          <w:sz w:val="48"/>
          <w:szCs w:val="48"/>
          <w14:ligatures w14:val="none"/>
        </w:rPr>
        <w:t>(A) JR GROUND 3 (FINAL, TIGHTENED VERSION)</w:t>
      </w:r>
    </w:p>
    <w:p w14:paraId="32850FC4" w14:textId="77777777" w:rsidR="00A163F7" w:rsidRPr="00A163F7" w:rsidRDefault="00A163F7" w:rsidP="00A163F7">
      <w:p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i/>
          <w:iCs/>
          <w:kern w:val="0"/>
          <w14:ligatures w14:val="none"/>
        </w:rPr>
        <w:t>(Failure to preserve evidence / evidential deprivation / Article 6)</w:t>
      </w:r>
    </w:p>
    <w:p w14:paraId="35BAA78C" w14:textId="77777777" w:rsidR="00A163F7" w:rsidRPr="00A163F7" w:rsidRDefault="00A163F7" w:rsidP="00A163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63F7">
        <w:rPr>
          <w:rFonts w:ascii="Times New Roman" w:eastAsia="Times New Roman" w:hAnsi="Times New Roman" w:cs="Times New Roman"/>
          <w:b/>
          <w:bCs/>
          <w:kern w:val="0"/>
          <w:sz w:val="36"/>
          <w:szCs w:val="36"/>
          <w14:ligatures w14:val="none"/>
        </w:rPr>
        <w:t>Ground 3 — Mischaracterisation of Coinbase Disclosure Resulting in Evidential Deprivation</w:t>
      </w:r>
    </w:p>
    <w:p w14:paraId="54BA7B6D" w14:textId="77777777" w:rsidR="00A163F7" w:rsidRPr="00A163F7" w:rsidRDefault="00A163F7" w:rsidP="00A163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kern w:val="0"/>
          <w14:ligatures w14:val="none"/>
        </w:rPr>
        <w:t>In the underlying proceedings, the court found that the Respondent held a very substantial asset comprising Coinbase equity (c.$7 million), that he knew of the anticipated flotation and potential for materially higher value at the time of his Form E, and that the Claimant was not informed of the true position until July 2021.</w:t>
      </w:r>
    </w:p>
    <w:p w14:paraId="111DEF13" w14:textId="77777777" w:rsidR="00A163F7" w:rsidRPr="00A163F7" w:rsidRDefault="00A163F7" w:rsidP="00A163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kern w:val="0"/>
          <w14:ligatures w14:val="none"/>
        </w:rPr>
        <w:t>Notwithstanding those findings, the court characterised the Respondent’s conduct as “inappropriately late disclosure”, treating the fact that the increased value was disclosed prior to the FDR as determinative.</w:t>
      </w:r>
    </w:p>
    <w:p w14:paraId="446963A6" w14:textId="77777777" w:rsidR="00A163F7" w:rsidRPr="00A163F7" w:rsidRDefault="00A163F7" w:rsidP="00A163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kern w:val="0"/>
          <w14:ligatures w14:val="none"/>
        </w:rPr>
        <w:t>That characterisation reflects a failure to apply the correct legal test. Where a party knows that an asset is of materially higher value, the legally relevant issue is whether the disclosure made under a statement of truth was misleading at the time it was made and during negotiations. Subsequent disclosure may go to mitigation, but it cannot retrospectively cure the legal significance of a knowing misstatement or its distorting effect on the opposing party’s ability to participate effectively and on an informed basis.</w:t>
      </w:r>
    </w:p>
    <w:p w14:paraId="1A20B68B" w14:textId="77777777" w:rsidR="00A163F7" w:rsidRPr="00A163F7" w:rsidRDefault="00A163F7" w:rsidP="00A163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kern w:val="0"/>
          <w14:ligatures w14:val="none"/>
        </w:rPr>
        <w:t>By minimising the seriousness of the disclosure failure, the court constrained its approach to evidential control. In particular, it did not ensure the preservation, forensic review, and procedural control of electronic devices identified as containing indicators of undisclosed cryptocurrency assets.</w:t>
      </w:r>
    </w:p>
    <w:p w14:paraId="7407A0CD" w14:textId="77777777" w:rsidR="00A163F7" w:rsidRPr="00A163F7" w:rsidRDefault="00A163F7" w:rsidP="00A163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kern w:val="0"/>
          <w14:ligatures w14:val="none"/>
        </w:rPr>
        <w:t>The Claimant was thereby deprived of access to the only primary evidence capable of substantiating or rebutting the expert-identified indicators of undisclosed crypto assets. This deprivation occurred through no fault of the Claimant and in circumstances where the State was on notice of the relevance and sensitivity of the material.</w:t>
      </w:r>
    </w:p>
    <w:p w14:paraId="63B0BC0D" w14:textId="77777777" w:rsidR="00A163F7" w:rsidRPr="00A163F7" w:rsidRDefault="00A163F7" w:rsidP="00A163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kern w:val="0"/>
          <w14:ligatures w14:val="none"/>
        </w:rPr>
        <w:t>The combined effect of the misapplication of the disclosure test and the failure to preserve and review the material resulted in irreversible evidential imbalance and loss of procedural agency, contrary to the Claimant’s right to effective participation and equality of arms under Article 6 ECHR.</w:t>
      </w:r>
    </w:p>
    <w:p w14:paraId="0E2B2800" w14:textId="77777777" w:rsidR="00A163F7" w:rsidRPr="00A163F7" w:rsidRDefault="00C05F9D" w:rsidP="00A163F7">
      <w:pPr>
        <w:spacing w:after="0" w:line="240" w:lineRule="auto"/>
        <w:rPr>
          <w:rFonts w:ascii="Times New Roman" w:eastAsia="Times New Roman" w:hAnsi="Times New Roman" w:cs="Times New Roman"/>
          <w:kern w:val="0"/>
          <w14:ligatures w14:val="none"/>
        </w:rPr>
      </w:pPr>
      <w:r w:rsidRPr="00C05F9D">
        <w:rPr>
          <w:rFonts w:ascii="Times New Roman" w:eastAsia="Times New Roman" w:hAnsi="Times New Roman" w:cs="Times New Roman"/>
          <w:noProof/>
          <w:kern w:val="0"/>
        </w:rPr>
        <w:pict w14:anchorId="5DD69064">
          <v:rect id="_x0000_i1027" alt="" style="width:468pt;height:.05pt;mso-width-percent:0;mso-height-percent:0;mso-width-percent:0;mso-height-percent:0" o:hralign="center" o:hrstd="t" o:hr="t" fillcolor="#a0a0a0" stroked="f"/>
        </w:pict>
      </w:r>
    </w:p>
    <w:p w14:paraId="28AA4358" w14:textId="77777777" w:rsidR="00A163F7" w:rsidRPr="00A163F7" w:rsidRDefault="00A163F7" w:rsidP="00A163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163F7">
        <w:rPr>
          <w:rFonts w:ascii="Times New Roman" w:eastAsia="Times New Roman" w:hAnsi="Times New Roman" w:cs="Times New Roman"/>
          <w:b/>
          <w:bCs/>
          <w:kern w:val="36"/>
          <w:sz w:val="48"/>
          <w:szCs w:val="48"/>
          <w14:ligatures w14:val="none"/>
        </w:rPr>
        <w:lastRenderedPageBreak/>
        <w:t>(B) ALIGNMENT PARAGRAPH (FINAL, PERMISSION-SAFE)</w:t>
      </w:r>
    </w:p>
    <w:p w14:paraId="26E65B6A" w14:textId="77777777" w:rsidR="00A163F7" w:rsidRPr="00A163F7" w:rsidRDefault="00A163F7" w:rsidP="00A163F7">
      <w:p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i/>
          <w:iCs/>
          <w:kern w:val="0"/>
          <w14:ligatures w14:val="none"/>
        </w:rPr>
        <w:t>(Why the appeal and JR are complementary, not duplicative)</w:t>
      </w:r>
    </w:p>
    <w:p w14:paraId="6E4DC02E" w14:textId="77777777" w:rsidR="00A163F7" w:rsidRPr="00A163F7" w:rsidRDefault="00A163F7" w:rsidP="00A163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63F7">
        <w:rPr>
          <w:rFonts w:ascii="Times New Roman" w:eastAsia="Times New Roman" w:hAnsi="Times New Roman" w:cs="Times New Roman"/>
          <w:b/>
          <w:bCs/>
          <w:kern w:val="0"/>
          <w:sz w:val="36"/>
          <w:szCs w:val="36"/>
          <w14:ligatures w14:val="none"/>
        </w:rPr>
        <w:t>Relationship to Appellate Proceedings</w:t>
      </w:r>
    </w:p>
    <w:p w14:paraId="37D29A46" w14:textId="77777777" w:rsidR="00A163F7" w:rsidRPr="00A163F7" w:rsidRDefault="00A163F7" w:rsidP="00A163F7">
      <w:p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kern w:val="0"/>
          <w14:ligatures w14:val="none"/>
        </w:rPr>
        <w:t>The Claimant relies on the same factual findings concerning the Coinbase asset in both her appellate proceedings and this Judicial Review, but for distinct legal purposes. In the appeal, the issue is whether the judge erred in law by mischaracterising a knowing misstatement as mere lateness and by giving inadequate reasons. In this Judicial Review, the issue is whether that same mischaracterisation constituted a failure to apply the correct legal test for material disclosure, thereby constraining evidential control, preventing preservation and review of material evidence, and producing procedural unfairness and inequality of arms. The relief sought does not invite the Administrative Court to revisit the merits of the financial remedy outcome, but to determine whether State action and omission denied the Claimant effective participation and access to evidence, contrary to Article 6 ECHR.</w:t>
      </w:r>
    </w:p>
    <w:p w14:paraId="2575491F" w14:textId="77777777" w:rsidR="00A163F7" w:rsidRPr="00A163F7" w:rsidRDefault="00C05F9D" w:rsidP="00A163F7">
      <w:pPr>
        <w:spacing w:after="0" w:line="240" w:lineRule="auto"/>
        <w:rPr>
          <w:rFonts w:ascii="Times New Roman" w:eastAsia="Times New Roman" w:hAnsi="Times New Roman" w:cs="Times New Roman"/>
          <w:kern w:val="0"/>
          <w14:ligatures w14:val="none"/>
        </w:rPr>
      </w:pPr>
      <w:r>
        <w:rPr>
          <w:noProof/>
        </w:rPr>
      </w:r>
      <w:r>
        <w:pict w14:anchorId="7104302A">
          <v:rect id="Horizontal Line 7"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F82EE00" w14:textId="77777777" w:rsidR="00A163F7" w:rsidRPr="00A163F7" w:rsidRDefault="00A163F7" w:rsidP="00A163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63F7">
        <w:rPr>
          <w:rFonts w:ascii="Times New Roman" w:eastAsia="Times New Roman" w:hAnsi="Times New Roman" w:cs="Times New Roman"/>
          <w:b/>
          <w:bCs/>
          <w:kern w:val="0"/>
          <w:sz w:val="36"/>
          <w:szCs w:val="36"/>
          <w14:ligatures w14:val="none"/>
        </w:rPr>
        <w:t>Ultra-short alignment line (optional, anywhere)</w:t>
      </w:r>
    </w:p>
    <w:p w14:paraId="7CF13144" w14:textId="77777777" w:rsidR="00A163F7" w:rsidRPr="00A163F7" w:rsidRDefault="00A163F7" w:rsidP="00A163F7">
      <w:p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kern w:val="0"/>
          <w14:ligatures w14:val="none"/>
        </w:rPr>
        <w:t>The appeal challenges the correctness of the judgment; this Judicial Review challenges the lawfulness of the process that flowed from the same mischaracterisation.</w:t>
      </w:r>
    </w:p>
    <w:p w14:paraId="4BFBF18B" w14:textId="77777777" w:rsidR="00A163F7" w:rsidRPr="00A163F7" w:rsidRDefault="00C05F9D" w:rsidP="00A163F7">
      <w:pPr>
        <w:spacing w:after="0" w:line="240" w:lineRule="auto"/>
        <w:rPr>
          <w:rFonts w:ascii="Times New Roman" w:eastAsia="Times New Roman" w:hAnsi="Times New Roman" w:cs="Times New Roman"/>
          <w:kern w:val="0"/>
          <w14:ligatures w14:val="none"/>
        </w:rPr>
      </w:pPr>
      <w:r>
        <w:rPr>
          <w:noProof/>
        </w:rPr>
      </w:r>
      <w:r>
        <w:pict w14:anchorId="0A83EEB4">
          <v:rect id="Horizontal Lin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6E344B" w14:textId="77777777" w:rsidR="00A163F7" w:rsidRPr="00A163F7" w:rsidRDefault="00A163F7" w:rsidP="00A163F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63F7">
        <w:rPr>
          <w:rFonts w:ascii="Times New Roman" w:eastAsia="Times New Roman" w:hAnsi="Times New Roman" w:cs="Times New Roman"/>
          <w:b/>
          <w:bCs/>
          <w:kern w:val="0"/>
          <w:sz w:val="27"/>
          <w:szCs w:val="27"/>
          <w14:ligatures w14:val="none"/>
        </w:rPr>
        <w:t>What this achieves</w:t>
      </w:r>
    </w:p>
    <w:p w14:paraId="6DD8F011" w14:textId="77777777" w:rsidR="00A163F7" w:rsidRPr="00A163F7" w:rsidRDefault="00A163F7" w:rsidP="00A163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b/>
          <w:bCs/>
          <w:kern w:val="0"/>
          <w14:ligatures w14:val="none"/>
        </w:rPr>
        <w:t>One factual spine, one legal defect, two jurisdictions — no contradiction</w:t>
      </w:r>
    </w:p>
    <w:p w14:paraId="367EBFAD" w14:textId="77777777" w:rsidR="00A163F7" w:rsidRPr="00A163F7" w:rsidRDefault="00A163F7" w:rsidP="00A163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b/>
          <w:bCs/>
          <w:kern w:val="0"/>
          <w14:ligatures w14:val="none"/>
        </w:rPr>
        <w:t>No collateral attack</w:t>
      </w:r>
    </w:p>
    <w:p w14:paraId="378C214C" w14:textId="77777777" w:rsidR="00A163F7" w:rsidRPr="00A163F7" w:rsidRDefault="00A163F7" w:rsidP="00A163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b/>
          <w:bCs/>
          <w:kern w:val="0"/>
          <w14:ligatures w14:val="none"/>
        </w:rPr>
        <w:t>Clear Article 6 pathway</w:t>
      </w:r>
    </w:p>
    <w:p w14:paraId="15E62519" w14:textId="77777777" w:rsidR="00A163F7" w:rsidRPr="00A163F7" w:rsidRDefault="00A163F7" w:rsidP="00A163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b/>
          <w:bCs/>
          <w:kern w:val="0"/>
          <w14:ligatures w14:val="none"/>
        </w:rPr>
        <w:t>Permission-stage concise</w:t>
      </w:r>
    </w:p>
    <w:p w14:paraId="3929E44F" w14:textId="77777777" w:rsidR="00A163F7" w:rsidRPr="00A163F7" w:rsidRDefault="00A163F7" w:rsidP="00A163F7">
      <w:p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kern w:val="0"/>
          <w14:ligatures w14:val="none"/>
        </w:rPr>
        <w:t>If you want next, I can:</w:t>
      </w:r>
    </w:p>
    <w:p w14:paraId="17287555" w14:textId="77777777" w:rsidR="00A163F7" w:rsidRPr="00A163F7" w:rsidRDefault="00A163F7" w:rsidP="00A163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kern w:val="0"/>
          <w14:ligatures w14:val="none"/>
        </w:rPr>
        <w:t xml:space="preserve">compress Ground 3 to a </w:t>
      </w:r>
      <w:r w:rsidRPr="00A163F7">
        <w:rPr>
          <w:rFonts w:ascii="Times New Roman" w:eastAsia="Times New Roman" w:hAnsi="Times New Roman" w:cs="Times New Roman"/>
          <w:b/>
          <w:bCs/>
          <w:kern w:val="0"/>
          <w14:ligatures w14:val="none"/>
        </w:rPr>
        <w:t>½-page permission summary</w:t>
      </w:r>
      <w:r w:rsidRPr="00A163F7">
        <w:rPr>
          <w:rFonts w:ascii="Times New Roman" w:eastAsia="Times New Roman" w:hAnsi="Times New Roman" w:cs="Times New Roman"/>
          <w:kern w:val="0"/>
          <w14:ligatures w14:val="none"/>
        </w:rPr>
        <w:t>, or</w:t>
      </w:r>
    </w:p>
    <w:p w14:paraId="0629EE10" w14:textId="77777777" w:rsidR="00A163F7" w:rsidRPr="00A163F7" w:rsidRDefault="00A163F7" w:rsidP="00A163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163F7">
        <w:rPr>
          <w:rFonts w:ascii="Times New Roman" w:eastAsia="Times New Roman" w:hAnsi="Times New Roman" w:cs="Times New Roman"/>
          <w:kern w:val="0"/>
          <w14:ligatures w14:val="none"/>
        </w:rPr>
        <w:t xml:space="preserve">map this precisely onto your </w:t>
      </w:r>
      <w:r w:rsidRPr="00A163F7">
        <w:rPr>
          <w:rFonts w:ascii="Times New Roman" w:eastAsia="Times New Roman" w:hAnsi="Times New Roman" w:cs="Times New Roman"/>
          <w:b/>
          <w:bCs/>
          <w:kern w:val="0"/>
          <w14:ligatures w14:val="none"/>
        </w:rPr>
        <w:t>existing JR numbering and headings</w:t>
      </w:r>
      <w:r w:rsidRPr="00A163F7">
        <w:rPr>
          <w:rFonts w:ascii="Times New Roman" w:eastAsia="Times New Roman" w:hAnsi="Times New Roman" w:cs="Times New Roman"/>
          <w:kern w:val="0"/>
          <w14:ligatures w14:val="none"/>
        </w:rPr>
        <w:t xml:space="preserve"> so it drops in with zero formatting changes.</w:t>
      </w:r>
    </w:p>
    <w:p w14:paraId="450ECC96" w14:textId="77777777" w:rsidR="00E33504" w:rsidRDefault="00E33504"/>
    <w:sectPr w:rsidR="00E335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B66"/>
    <w:multiLevelType w:val="multilevel"/>
    <w:tmpl w:val="D4F8A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D172B"/>
    <w:multiLevelType w:val="multilevel"/>
    <w:tmpl w:val="2110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626C9"/>
    <w:multiLevelType w:val="multilevel"/>
    <w:tmpl w:val="2980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F2E57"/>
    <w:multiLevelType w:val="multilevel"/>
    <w:tmpl w:val="08E2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766940"/>
    <w:multiLevelType w:val="multilevel"/>
    <w:tmpl w:val="EF6E11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926759">
    <w:abstractNumId w:val="0"/>
  </w:num>
  <w:num w:numId="2" w16cid:durableId="1382514240">
    <w:abstractNumId w:val="4"/>
  </w:num>
  <w:num w:numId="3" w16cid:durableId="389116352">
    <w:abstractNumId w:val="3"/>
  </w:num>
  <w:num w:numId="4" w16cid:durableId="590243389">
    <w:abstractNumId w:val="2"/>
  </w:num>
  <w:num w:numId="5" w16cid:durableId="990714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5D8"/>
    <w:rsid w:val="00137746"/>
    <w:rsid w:val="00446A13"/>
    <w:rsid w:val="008E70A5"/>
    <w:rsid w:val="00A163F7"/>
    <w:rsid w:val="00A47EFA"/>
    <w:rsid w:val="00BA040D"/>
    <w:rsid w:val="00C05F9D"/>
    <w:rsid w:val="00D645D8"/>
    <w:rsid w:val="00E33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EF69AC2"/>
  <w15:chartTrackingRefBased/>
  <w15:docId w15:val="{22A2B50D-CDF2-F142-9F5A-63E2A664A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4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4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
    <w:name w:val="Grid Table 1 Light"/>
    <w:basedOn w:val="TableNormal"/>
    <w:uiPriority w:val="46"/>
    <w:rsid w:val="00E33504"/>
    <w:pPr>
      <w:spacing w:after="0" w:line="240" w:lineRule="auto"/>
      <w:jc w:val="both"/>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cPr>
      <w:shd w:val="clear" w:color="auto" w:fill="AEC7D2"/>
    </w:tcPr>
    <w:tblStylePr w:type="firstRow">
      <w:rPr>
        <w:rFonts w:ascii="Calibri" w:hAnsi="Calibri"/>
        <w:b/>
        <w:bCs/>
        <w:color w:val="FFFFFF" w:themeColor="background1"/>
        <w:sz w:val="20"/>
      </w:rPr>
      <w:tblPr/>
      <w:tcPr>
        <w:shd w:val="clear" w:color="auto" w:fill="156082" w:themeFill="accent1"/>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tblStylePr w:type="band1Horz">
      <w:tblPr/>
      <w:tcPr>
        <w:shd w:val="clear" w:color="auto" w:fill="FFFFFF" w:themeFill="background1"/>
      </w:tcPr>
    </w:tblStylePr>
    <w:tblStylePr w:type="band2Horz">
      <w:tblPr/>
      <w:tcPr>
        <w:shd w:val="clear" w:color="auto" w:fill="AEC7D2"/>
      </w:tcPr>
    </w:tblStylePr>
  </w:style>
  <w:style w:type="table" w:customStyle="1" w:styleId="Style5">
    <w:name w:val="Style5"/>
    <w:basedOn w:val="TableNormal"/>
    <w:uiPriority w:val="99"/>
    <w:rsid w:val="00E33504"/>
    <w:pPr>
      <w:spacing w:after="0" w:line="240" w:lineRule="auto"/>
    </w:pPr>
    <w:tblPr>
      <w:tblStyleRowBandSize w:val="1"/>
      <w:tblStyleColBandSize w:val="1"/>
    </w:tblPr>
    <w:tblStylePr w:type="firstRow">
      <w:rPr>
        <w:b/>
        <w:color w:val="FFFFFF" w:themeColor="background1"/>
      </w:rPr>
      <w:tblPr/>
      <w:tcPr>
        <w:shd w:val="clear" w:color="auto" w:fill="0B769F" w:themeFill="accent4" w:themeFillShade="BF"/>
      </w:tcPr>
    </w:tblStylePr>
    <w:tblStylePr w:type="lastRow">
      <w:tblPr/>
      <w:tcPr>
        <w:shd w:val="clear" w:color="auto" w:fill="AEC7D2"/>
      </w:tcPr>
    </w:tblStylePr>
    <w:tblStylePr w:type="band2Vert">
      <w:tblPr/>
      <w:tcPr>
        <w:shd w:val="clear" w:color="auto" w:fill="FFFFFF" w:themeFill="background1"/>
      </w:tcPr>
    </w:tblStylePr>
    <w:tblStylePr w:type="band2Horz">
      <w:pPr>
        <w:jc w:val="left"/>
      </w:pPr>
      <w:tblPr/>
      <w:tcPr>
        <w:shd w:val="clear" w:color="auto" w:fill="AEC7D2"/>
      </w:tcPr>
    </w:tblStylePr>
  </w:style>
  <w:style w:type="paragraph" w:styleId="Header">
    <w:name w:val="header"/>
    <w:basedOn w:val="Normal"/>
    <w:link w:val="HeaderChar"/>
    <w:uiPriority w:val="99"/>
    <w:unhideWhenUsed/>
    <w:rsid w:val="00446A13"/>
    <w:pPr>
      <w:tabs>
        <w:tab w:val="center" w:pos="4680"/>
        <w:tab w:val="right" w:pos="9360"/>
      </w:tabs>
      <w:spacing w:after="0" w:line="240" w:lineRule="auto"/>
    </w:pPr>
    <w:rPr>
      <w:color w:val="0F4761" w:themeColor="accent1" w:themeShade="BF"/>
      <w:sz w:val="21"/>
    </w:rPr>
  </w:style>
  <w:style w:type="character" w:customStyle="1" w:styleId="HeaderChar">
    <w:name w:val="Header Char"/>
    <w:basedOn w:val="DefaultParagraphFont"/>
    <w:link w:val="Header"/>
    <w:uiPriority w:val="99"/>
    <w:rsid w:val="00446A13"/>
    <w:rPr>
      <w:color w:val="0F4761" w:themeColor="accent1" w:themeShade="BF"/>
      <w:sz w:val="21"/>
    </w:rPr>
  </w:style>
  <w:style w:type="character" w:customStyle="1" w:styleId="Heading1Char">
    <w:name w:val="Heading 1 Char"/>
    <w:basedOn w:val="DefaultParagraphFont"/>
    <w:link w:val="Heading1"/>
    <w:uiPriority w:val="9"/>
    <w:rsid w:val="00D64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4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4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5D8"/>
    <w:rPr>
      <w:rFonts w:eastAsiaTheme="majorEastAsia" w:cstheme="majorBidi"/>
      <w:color w:val="272727" w:themeColor="text1" w:themeTint="D8"/>
    </w:rPr>
  </w:style>
  <w:style w:type="paragraph" w:styleId="Title">
    <w:name w:val="Title"/>
    <w:basedOn w:val="Normal"/>
    <w:next w:val="Normal"/>
    <w:link w:val="TitleChar"/>
    <w:uiPriority w:val="10"/>
    <w:qFormat/>
    <w:rsid w:val="00D64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5D8"/>
    <w:pPr>
      <w:spacing w:before="160"/>
      <w:jc w:val="center"/>
    </w:pPr>
    <w:rPr>
      <w:i/>
      <w:iCs/>
      <w:color w:val="404040" w:themeColor="text1" w:themeTint="BF"/>
    </w:rPr>
  </w:style>
  <w:style w:type="character" w:customStyle="1" w:styleId="QuoteChar">
    <w:name w:val="Quote Char"/>
    <w:basedOn w:val="DefaultParagraphFont"/>
    <w:link w:val="Quote"/>
    <w:uiPriority w:val="29"/>
    <w:rsid w:val="00D645D8"/>
    <w:rPr>
      <w:i/>
      <w:iCs/>
      <w:color w:val="404040" w:themeColor="text1" w:themeTint="BF"/>
    </w:rPr>
  </w:style>
  <w:style w:type="paragraph" w:styleId="ListParagraph">
    <w:name w:val="List Paragraph"/>
    <w:basedOn w:val="Normal"/>
    <w:uiPriority w:val="34"/>
    <w:qFormat/>
    <w:rsid w:val="00D645D8"/>
    <w:pPr>
      <w:ind w:left="720"/>
      <w:contextualSpacing/>
    </w:pPr>
  </w:style>
  <w:style w:type="character" w:styleId="IntenseEmphasis">
    <w:name w:val="Intense Emphasis"/>
    <w:basedOn w:val="DefaultParagraphFont"/>
    <w:uiPriority w:val="21"/>
    <w:qFormat/>
    <w:rsid w:val="00D645D8"/>
    <w:rPr>
      <w:i/>
      <w:iCs/>
      <w:color w:val="0F4761" w:themeColor="accent1" w:themeShade="BF"/>
    </w:rPr>
  </w:style>
  <w:style w:type="paragraph" w:styleId="IntenseQuote">
    <w:name w:val="Intense Quote"/>
    <w:basedOn w:val="Normal"/>
    <w:next w:val="Normal"/>
    <w:link w:val="IntenseQuoteChar"/>
    <w:uiPriority w:val="30"/>
    <w:qFormat/>
    <w:rsid w:val="00D64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5D8"/>
    <w:rPr>
      <w:i/>
      <w:iCs/>
      <w:color w:val="0F4761" w:themeColor="accent1" w:themeShade="BF"/>
    </w:rPr>
  </w:style>
  <w:style w:type="character" w:styleId="IntenseReference">
    <w:name w:val="Intense Reference"/>
    <w:basedOn w:val="DefaultParagraphFont"/>
    <w:uiPriority w:val="32"/>
    <w:qFormat/>
    <w:rsid w:val="00D645D8"/>
    <w:rPr>
      <w:b/>
      <w:bCs/>
      <w:smallCaps/>
      <w:color w:val="0F4761" w:themeColor="accent1" w:themeShade="BF"/>
      <w:spacing w:val="5"/>
    </w:rPr>
  </w:style>
  <w:style w:type="paragraph" w:styleId="NormalWeb">
    <w:name w:val="Normal (Web)"/>
    <w:basedOn w:val="Normal"/>
    <w:uiPriority w:val="99"/>
    <w:semiHidden/>
    <w:unhideWhenUsed/>
    <w:rsid w:val="00D645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645D8"/>
    <w:rPr>
      <w:i/>
      <w:iCs/>
    </w:rPr>
  </w:style>
  <w:style w:type="character" w:styleId="Strong">
    <w:name w:val="Strong"/>
    <w:basedOn w:val="DefaultParagraphFont"/>
    <w:uiPriority w:val="22"/>
    <w:qFormat/>
    <w:rsid w:val="00D645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1078</Words>
  <Characters>6148</Characters>
  <Application>Microsoft Office Word</Application>
  <DocSecurity>0</DocSecurity>
  <Lines>149</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Zahmoul</dc:creator>
  <cp:keywords/>
  <dc:description/>
  <cp:lastModifiedBy>Nadia Zahmoul</cp:lastModifiedBy>
  <cp:revision>2</cp:revision>
  <dcterms:created xsi:type="dcterms:W3CDTF">2026-01-11T02:24:00Z</dcterms:created>
  <dcterms:modified xsi:type="dcterms:W3CDTF">2026-01-11T02:24:00Z</dcterms:modified>
</cp:coreProperties>
</file>