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Testfälle Akzeptanztest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5"/>
        <w:gridCol w:w="3930"/>
        <w:tblGridChange w:id="0">
          <w:tblGrid>
            <w:gridCol w:w="3255"/>
            <w:gridCol w:w="3930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Projektbezeichnung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Spritzgussmaschinen Sprachsteuerung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Projektverantwortlicher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Armin Anton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Verantwortlicher Akzeptanztest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Armin Anton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Erstellt am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11.04.2025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Zuletzt geändert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11.04.2025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Bearbeitungszustand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Bearbeitung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Dokumentbezeichnung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Testfälle Akzeptanztest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Historie der Dokumentversionen</w:t>
      </w:r>
    </w:p>
    <w:tbl>
      <w:tblPr>
        <w:tblStyle w:val="Table2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559"/>
        <w:gridCol w:w="2127"/>
        <w:gridCol w:w="4105"/>
        <w:tblGridChange w:id="0">
          <w:tblGrid>
            <w:gridCol w:w="1271"/>
            <w:gridCol w:w="1559"/>
            <w:gridCol w:w="2127"/>
            <w:gridCol w:w="410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Version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Datum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Änderungen/Bemerkungen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11.04.2025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Armin Anton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Ersterstellung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90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7185"/>
        <w:gridCol w:w="2100"/>
        <w:tblGridChange w:id="0">
          <w:tblGrid>
            <w:gridCol w:w="1905"/>
            <w:gridCol w:w="718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Nummer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Akzeptanztest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Anforderung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Das Mikrofon wird abgehört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AT2.1.1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Es kann die Sprachbefehle 1-9 erkennen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AT2.1.2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Ein Sprachbefehl wird erkannt und angezeigt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Die Audiospur wird in der UI angezeigt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Ein erkannter Sprachbefehl wird numerisch angezeigt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Eine Liste an vorherigen Sprachbefehlen wird angezeigt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FA4.1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Der Zustand des Mikrofons kann gesehen werden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FA4.2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Der Name des Mikrofons kann gesehen werden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FA4.3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Der Mute Button kann das Mikrofon ein- und ausschalten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FA4.4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>
        <w:rtl w:val="0"/>
      </w:rPr>
      <w:t xml:space="preserve">Seite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Testfälle Akzeptanztest.docx 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Team Rocket </w:t>
    </w:r>
    <w:r w:rsidDel="00000000" w:rsidR="00000000" w:rsidRPr="00000000">
      <w:rPr>
        <w:rtl w:val="0"/>
      </w:rPr>
      <w:t xml:space="preserve">011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.0</w:t>
    </w: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de-DE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