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Cases nested within random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Cases nested within symptom cohort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 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72.1 (16.5)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72.6 (16.4)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body 2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981 (56.0%)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2548 (56.2%)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+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771 (44.0%)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1989 (43.8%)</w:t>
            </w: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IMD (2015)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Least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 (23.8%)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1143 (25.2%)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+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1059 (23.3%)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 (21.5%)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780 (17.2%)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Most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 (13.2%)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(12.8%)</w:t>
            </w: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site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1259 (71.9%)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3280 (72.3%)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+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 (28.1%)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1257 (27.7%)</w:t>
            </w: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Advanced stage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786 (44.9%)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2050 (45.2%)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+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966 (55.1%)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2487 (54.8%)</w:t>
            </w: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Emergency presentation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1402 (80.0%)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3607 (79.5%)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+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 (20.0%)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(20.5%)</w:t>
            </w: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1752 (27.9%)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4537 (72.1%)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*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Wilcoxon-rank sum test</w:t>
            </w:r>
          </w:p>
        </w:tc>
      </w:tr>
      <w:tr>
        <w:trPr>
          <w:cantSplit/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+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t-test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2023-09-22T15:25:09Z</dcterms:modified>
  <cp:category/>
</cp:coreProperties>
</file>