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P="4D2C1BD1" w14:paraId="3E7A9F1C" wp14:textId="6BD1A548">
      <w:pPr>
        <w:pStyle w:val="Title"/>
      </w:pPr>
      <w:r w:rsidRPr="4D2C1BD1" w:rsidR="58F8A4FA">
        <w:rPr>
          <w:noProof w:val="0"/>
          <w:lang w:val="en-US"/>
        </w:rPr>
        <w:t>Data Analysis Project: Understanding Student Behaviors</w:t>
      </w:r>
    </w:p>
    <w:p w:rsidR="0740D6A9" w:rsidRDefault="0740D6A9" w14:paraId="1E00668D" w14:textId="378C42E1">
      <w:r w:rsidRPr="4E1C073A" w:rsidR="0740D6A9">
        <w:rPr>
          <w:rFonts w:ascii="Calibri" w:hAnsi="Calibri" w:eastAsia="ＭＳ ゴシック" w:cs="" w:asciiTheme="majorAscii" w:hAnsiTheme="majorAscii" w:eastAsiaTheme="majorEastAsia" w:cstheme="majorBidi"/>
          <w:b w:val="1"/>
          <w:bCs w:val="1"/>
          <w:color w:val="365F91" w:themeColor="accent1" w:themeTint="FF" w:themeShade="BF"/>
          <w:sz w:val="28"/>
          <w:szCs w:val="28"/>
          <w:lang w:eastAsia="en-US" w:bidi="ar-SA"/>
        </w:rPr>
        <w:t>Introduction</w:t>
      </w:r>
      <w:r>
        <w:br/>
      </w:r>
      <w:r>
        <w:br/>
      </w:r>
      <w:r w:rsidR="0740D6A9">
        <w:rPr/>
        <w:t>This report aims to explore the academic habits and learning preferences of students enrolled in the Data Analysis course at Egypt University of Informatics. Understanding how students approach their studies</w:t>
      </w:r>
      <w:r w:rsidR="7FCA9101">
        <w:rPr/>
        <w:t xml:space="preserve"> </w:t>
      </w:r>
      <w:r w:rsidR="0740D6A9">
        <w:rPr/>
        <w:t>including how long they study, which tools they use, and their preferred learning formats</w:t>
      </w:r>
      <w:r w:rsidR="75AD62A9">
        <w:rPr/>
        <w:t xml:space="preserve"> </w:t>
      </w:r>
      <w:r w:rsidR="0740D6A9">
        <w:rPr/>
        <w:t>can provide educators with meaningful insights to refine teaching strategies and enhance student outcomes.</w:t>
      </w:r>
      <w:r>
        <w:br/>
      </w:r>
      <w:r>
        <w:br/>
      </w:r>
      <w:r w:rsidR="0740D6A9">
        <w:rPr/>
        <w:t xml:space="preserve">The project </w:t>
      </w:r>
      <w:r w:rsidR="0740D6A9">
        <w:rPr/>
        <w:t>leverages</w:t>
      </w:r>
      <w:r w:rsidR="0740D6A9">
        <w:rPr/>
        <w:t xml:space="preserve"> a structured survey and statistical analysis to </w:t>
      </w:r>
      <w:r w:rsidR="0740D6A9">
        <w:rPr/>
        <w:t>determine</w:t>
      </w:r>
      <w:r w:rsidR="0740D6A9">
        <w:rPr/>
        <w:t xml:space="preserve"> which habits correlate most strongly with academic success. Through visualizations and hypothesis testing, we aim to </w:t>
      </w:r>
      <w:r w:rsidR="0740D6A9">
        <w:rPr/>
        <w:t>validate</w:t>
      </w:r>
      <w:r w:rsidR="0740D6A9">
        <w:rPr/>
        <w:t xml:space="preserve"> or refute assumptions about what factors contribute to higher GPAs among students.</w:t>
      </w:r>
    </w:p>
    <w:p xmlns:wp14="http://schemas.microsoft.com/office/word/2010/wordml" w14:paraId="2320A01E" wp14:textId="77777777">
      <w:pPr>
        <w:pStyle w:val="Heading1"/>
      </w:pPr>
      <w:r>
        <w:t>Research Question</w:t>
      </w:r>
    </w:p>
    <w:p xmlns:wp14="http://schemas.microsoft.com/office/word/2010/wordml" w14:paraId="168C35F9" wp14:textId="77777777">
      <w:r>
        <w:t>What study habits and preferences are most common among Data Analysis students, and how might these relate to their GPA?</w:t>
      </w:r>
    </w:p>
    <w:p xmlns:wp14="http://schemas.microsoft.com/office/word/2010/wordml" w:rsidP="4E1C073A" w14:paraId="7243A01F" wp14:textId="63D91558">
      <w:pPr>
        <w:pStyle w:val="Normal"/>
      </w:pPr>
      <w:r w:rsidRPr="4E1C073A" w:rsidR="4E1C073A">
        <w:rPr>
          <w:rFonts w:ascii="Calibri" w:hAnsi="Calibri" w:eastAsia="ＭＳ ゴシック" w:cs="" w:asciiTheme="majorAscii" w:hAnsiTheme="majorAscii" w:eastAsiaTheme="majorEastAsia" w:cstheme="majorBidi"/>
          <w:b w:val="1"/>
          <w:bCs w:val="1"/>
          <w:color w:val="365F91" w:themeColor="accent1" w:themeTint="FF" w:themeShade="BF"/>
          <w:sz w:val="28"/>
          <w:szCs w:val="28"/>
          <w:lang w:eastAsia="en-US" w:bidi="ar-SA"/>
        </w:rPr>
        <w:t>Hypothesis</w:t>
      </w:r>
      <w:r>
        <w:br/>
      </w:r>
      <w:r>
        <w:br/>
      </w:r>
      <w:r w:rsidRPr="4E1C073A" w:rsidR="4E1C073A">
        <w:rPr>
          <w:b w:val="1"/>
          <w:bCs w:val="1"/>
        </w:rPr>
        <w:t>Null Hypothesis (H₀):</w:t>
      </w:r>
      <w:r w:rsidR="4E1C073A">
        <w:rPr/>
        <w:t xml:space="preserve"> There is no relationship between the number of hours </w:t>
      </w:r>
      <w:r w:rsidR="4E1C073A">
        <w:rPr/>
        <w:t>students</w:t>
      </w:r>
      <w:r w:rsidR="4E1C073A">
        <w:rPr/>
        <w:t xml:space="preserve"> study or how often they watch online tutorials and their GPA.</w:t>
      </w:r>
      <w:r>
        <w:br/>
      </w:r>
      <w:r>
        <w:br/>
      </w:r>
      <w:r w:rsidRPr="4E1C073A" w:rsidR="4E1C073A">
        <w:rPr>
          <w:b w:val="1"/>
          <w:bCs w:val="1"/>
        </w:rPr>
        <w:t>Alternative Hypothesis (H₁)</w:t>
      </w:r>
      <w:r w:rsidR="4E1C073A">
        <w:rPr/>
        <w:t xml:space="preserve">: Students who study more hours and watch online tutorials more </w:t>
      </w:r>
      <w:r w:rsidR="4E1C073A">
        <w:rPr/>
        <w:t>frequently</w:t>
      </w:r>
      <w:r w:rsidR="4E1C073A">
        <w:rPr/>
        <w:t xml:space="preserve"> tend to have higher GPAs.</w:t>
      </w:r>
    </w:p>
    <w:p xmlns:wp14="http://schemas.microsoft.com/office/word/2010/wordml" w14:paraId="16823BE7" wp14:textId="77777777">
      <w:pPr>
        <w:pStyle w:val="Heading1"/>
      </w:pPr>
      <w:r>
        <w:t>Population of Interest</w:t>
      </w:r>
    </w:p>
    <w:p xmlns:wp14="http://schemas.microsoft.com/office/word/2010/wordml" w14:paraId="6C3724F6" wp14:textId="77777777">
      <w:r>
        <w:t>The population of interest is undergraduate students enrolled in the Data Analysis course at Egypt University of Informatics.</w:t>
      </w:r>
    </w:p>
    <w:p xmlns:wp14="http://schemas.microsoft.com/office/word/2010/wordml" w14:paraId="26F678D3" wp14:textId="77777777">
      <w:pPr>
        <w:pStyle w:val="Heading1"/>
      </w:pPr>
      <w:r w:rsidR="4E1C073A">
        <w:rPr/>
        <w:t>Sampling Method</w:t>
      </w:r>
    </w:p>
    <w:p w:rsidR="1B87D5B6" w:rsidRDefault="1B87D5B6" w14:paraId="28E91DB2" w14:textId="7E0A3FDE">
      <w:r w:rsidRPr="4E1C073A" w:rsidR="1B87D5B6">
        <w:rPr>
          <w:rFonts w:ascii="Cambria" w:hAnsi="Cambria" w:eastAsia="Cambria" w:cs="Cambria"/>
          <w:noProof w:val="0"/>
          <w:sz w:val="22"/>
          <w:szCs w:val="22"/>
          <w:lang w:val="en-US"/>
        </w:rPr>
        <w:t xml:space="preserve">This study </w:t>
      </w:r>
      <w:r w:rsidRPr="4E1C073A" w:rsidR="1B87D5B6">
        <w:rPr>
          <w:rFonts w:ascii="Cambria" w:hAnsi="Cambria" w:eastAsia="Cambria" w:cs="Cambria"/>
          <w:noProof w:val="0"/>
          <w:sz w:val="22"/>
          <w:szCs w:val="22"/>
          <w:lang w:val="en-US"/>
        </w:rPr>
        <w:t>utilized</w:t>
      </w:r>
      <w:r w:rsidRPr="4E1C073A" w:rsidR="1B87D5B6">
        <w:rPr>
          <w:rFonts w:ascii="Cambria" w:hAnsi="Cambria" w:eastAsia="Cambria" w:cs="Cambria"/>
          <w:noProof w:val="0"/>
          <w:sz w:val="22"/>
          <w:szCs w:val="22"/>
          <w:lang w:val="en-US"/>
        </w:rPr>
        <w:t xml:space="preserve"> a </w:t>
      </w:r>
      <w:r w:rsidRPr="4E1C073A" w:rsidR="1B87D5B6">
        <w:rPr>
          <w:rFonts w:ascii="Cambria" w:hAnsi="Cambria" w:eastAsia="Cambria" w:cs="Cambria"/>
          <w:b w:val="1"/>
          <w:bCs w:val="1"/>
          <w:noProof w:val="0"/>
          <w:sz w:val="22"/>
          <w:szCs w:val="22"/>
          <w:lang w:val="en-US"/>
        </w:rPr>
        <w:t>stratified random sampling technique</w:t>
      </w:r>
      <w:r w:rsidRPr="4E1C073A" w:rsidR="1B87D5B6">
        <w:rPr>
          <w:rFonts w:ascii="Cambria" w:hAnsi="Cambria" w:eastAsia="Cambria" w:cs="Cambria"/>
          <w:noProof w:val="0"/>
          <w:sz w:val="22"/>
          <w:szCs w:val="22"/>
          <w:lang w:val="en-US"/>
        </w:rPr>
        <w:t xml:space="preserve"> targeting students enrolled in the Data Analysis course at Egypt University of Informatics.  A random selection was then made from each group in proportion to its size within the population. This approach was chosen to enhance the representativeness of the sample and to minimize potential sampling bias.</w:t>
      </w:r>
    </w:p>
    <w:p xmlns:wp14="http://schemas.microsoft.com/office/word/2010/wordml" w14:paraId="70B15063" wp14:textId="77777777">
      <w:pPr>
        <w:pStyle w:val="Heading1"/>
      </w:pPr>
      <w:r w:rsidR="4E1C073A">
        <w:rPr/>
        <w:t>Bias Identification</w:t>
      </w:r>
    </w:p>
    <w:p w:rsidR="7FE87769" w:rsidRDefault="7FE87769" w14:paraId="34601991" w14:textId="2CD28C3C">
      <w:r w:rsidR="7FE87769">
        <w:rPr/>
        <w:t xml:space="preserve">In designing this survey, steps were taken to </w:t>
      </w:r>
      <w:r w:rsidR="7FE87769">
        <w:rPr/>
        <w:t>identify</w:t>
      </w:r>
      <w:r w:rsidR="7FE87769">
        <w:rPr/>
        <w:t xml:space="preserve"> and minimize potential sources</w:t>
      </w:r>
    </w:p>
    <w:p w:rsidR="7FE87769" w:rsidP="4E1C073A" w:rsidRDefault="7FE87769" w14:paraId="1BDB3931" w14:textId="5433B9D6">
      <w:pPr>
        <w:pStyle w:val="Normal"/>
      </w:pPr>
      <w:r w:rsidRPr="4E1C073A" w:rsidR="7FE87769">
        <w:rPr>
          <w:b w:val="1"/>
          <w:bCs w:val="1"/>
        </w:rPr>
        <w:t>Question Bias</w:t>
      </w:r>
      <w:r w:rsidR="7FE87769">
        <w:rPr/>
        <w:t>: Questions were phrased clearly and neutrally to avoid leading respondents toward any specific answers or assumptions.</w:t>
      </w:r>
    </w:p>
    <w:p w:rsidR="7FE87769" w:rsidP="4E1C073A" w:rsidRDefault="7FE87769" w14:paraId="4BE70071" w14:textId="2ED5D923">
      <w:pPr>
        <w:pStyle w:val="Normal"/>
      </w:pPr>
      <w:r w:rsidRPr="4E1C073A" w:rsidR="7FE87769">
        <w:rPr>
          <w:b w:val="1"/>
          <w:bCs w:val="1"/>
        </w:rPr>
        <w:t>Response Bias</w:t>
      </w:r>
      <w:r w:rsidR="7FE87769">
        <w:rPr/>
        <w:t>: All questions were anonymous and multiple-choice with numerical answers to reduce social desirability bias and promote honest responses.</w:t>
      </w:r>
    </w:p>
    <w:p w:rsidR="7FE87769" w:rsidP="4E1C073A" w:rsidRDefault="7FE87769" w14:paraId="74E1A687" w14:textId="53E6BD76">
      <w:pPr>
        <w:pStyle w:val="Normal"/>
      </w:pPr>
      <w:r w:rsidRPr="4E1C073A" w:rsidR="7FE87769">
        <w:rPr>
          <w:b w:val="1"/>
          <w:bCs w:val="1"/>
        </w:rPr>
        <w:t>Sampling Bias</w:t>
      </w:r>
      <w:r w:rsidR="7FE87769">
        <w:rPr/>
        <w:t xml:space="preserve">: Stratified sampling ensured diversity and </w:t>
      </w:r>
      <w:r w:rsidR="7FE87769">
        <w:rPr/>
        <w:t>representativeness</w:t>
      </w:r>
      <w:r w:rsidR="7FE87769">
        <w:rPr/>
        <w:t xml:space="preserve"> of the university student population.</w:t>
      </w:r>
    </w:p>
    <w:p xmlns:wp14="http://schemas.microsoft.com/office/word/2010/wordml" w14:paraId="07EE3849" wp14:textId="77777777">
      <w:pPr>
        <w:pStyle w:val="Heading1"/>
      </w:pPr>
      <w:r>
        <w:t>Survey Questions</w:t>
      </w:r>
    </w:p>
    <w:p xmlns:wp14="http://schemas.microsoft.com/office/word/2010/wordml" w14:paraId="7649B63A" wp14:textId="77777777">
      <w:r>
        <w:t>1. How many hours do you study outside of class?</w:t>
      </w:r>
    </w:p>
    <w:p xmlns:wp14="http://schemas.microsoft.com/office/word/2010/wordml" w14:paraId="69345B3A" wp14:textId="3B12307F">
      <w:r w:rsidR="4D2C1BD1">
        <w:rPr/>
        <w:t xml:space="preserve">2. What is your </w:t>
      </w:r>
      <w:r w:rsidR="1AE4500C">
        <w:rPr/>
        <w:t>favorite</w:t>
      </w:r>
      <w:r w:rsidR="4D2C1BD1">
        <w:rPr/>
        <w:t xml:space="preserve"> programming language?</w:t>
      </w:r>
    </w:p>
    <w:p xmlns:wp14="http://schemas.microsoft.com/office/word/2010/wordml" w14:paraId="084B6230" wp14:textId="77777777">
      <w:r>
        <w:t>3. What is your total GPA?</w:t>
      </w:r>
    </w:p>
    <w:p xmlns:wp14="http://schemas.microsoft.com/office/word/2010/wordml" w14:paraId="66DB749F" wp14:textId="77777777">
      <w:r>
        <w:t>4. Do you prefer digital or handwritten notes?</w:t>
      </w:r>
    </w:p>
    <w:p xmlns:wp14="http://schemas.microsoft.com/office/word/2010/wordml" w14:paraId="6F4599AB" wp14:textId="77777777">
      <w:r>
        <w:t>5. How often do you watch online tutorials for learning?</w:t>
      </w:r>
    </w:p>
    <w:p w:rsidR="4D2C1BD1" w:rsidRDefault="4D2C1BD1" w14:paraId="38063BA9" w14:textId="358CFD8A">
      <w:r>
        <w:br/>
      </w:r>
      <w:r w:rsidR="4D2C1BD1">
        <w:rPr/>
        <w:t>Online survey link:</w:t>
      </w:r>
      <w:r w:rsidRPr="4D2C1BD1" w:rsidR="1F0D7B81">
        <w:rPr>
          <w:rFonts w:ascii="Cambria" w:hAnsi="Cambria" w:eastAsia="Cambria" w:cs="Cambria"/>
          <w:noProof w:val="0"/>
          <w:sz w:val="22"/>
          <w:szCs w:val="22"/>
          <w:lang w:val="en-US"/>
        </w:rPr>
        <w:t xml:space="preserve"> https://docs.google.com/forms/d/1uMwCKP2fJ2WU_WaEhW6h9dfWMxRwcBznHeJFPHlT18g/viewform</w:t>
      </w:r>
    </w:p>
    <w:p xmlns:wp14="http://schemas.microsoft.com/office/word/2010/wordml" w14:paraId="7DF67EBF" wp14:textId="4CEA110D">
      <w:r w:rsidR="4D2C1BD1">
        <w:rPr/>
        <w:t xml:space="preserve">Number of samples collected: </w:t>
      </w:r>
      <w:r w:rsidR="11DDD223">
        <w:rPr/>
        <w:t>44</w:t>
      </w:r>
    </w:p>
    <w:p xmlns:wp14="http://schemas.microsoft.com/office/word/2010/wordml" w14:paraId="79B66ACA" wp14:textId="77777777">
      <w:pPr>
        <w:pStyle w:val="Heading1"/>
      </w:pPr>
      <w:r>
        <w:t>Analysis</w:t>
      </w:r>
    </w:p>
    <w:p xmlns:wp14="http://schemas.microsoft.com/office/word/2010/wordml" w14:paraId="201B6265" wp14:textId="42B6F57D">
      <w:r w:rsidR="4D2C1BD1">
        <w:rPr/>
        <w:t xml:space="preserve">The data was analyzed using descriptive statistics and visualizations. Below are the </w:t>
      </w:r>
      <w:r w:rsidR="0F734680">
        <w:rPr/>
        <w:t>charts from</w:t>
      </w:r>
      <w:r w:rsidR="4D2C1BD1">
        <w:rPr/>
        <w:t xml:space="preserve"> the survey responses:</w:t>
      </w:r>
    </w:p>
    <w:p xmlns:wp14="http://schemas.microsoft.com/office/word/2010/wordml" w14:paraId="672A6659" wp14:textId="77777777">
      <w:r w:rsidR="4D2C1BD1">
        <w:drawing>
          <wp:inline xmlns:wp14="http://schemas.microsoft.com/office/word/2010/wordprocessingDrawing" wp14:editId="3DBCEE21" wp14:anchorId="147D69C0">
            <wp:extent cx="3196437" cy="3334355"/>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eb6aafe3844d4b4f">
                      <a:extLst>
                        <a:ext xmlns:a="http://schemas.openxmlformats.org/drawingml/2006/main" uri="{28A0092B-C50C-407E-A947-70E740481C1C}">
                          <a14:useLocalDpi val="0"/>
                        </a:ext>
                      </a:extLst>
                    </a:blip>
                    <a:stretch>
                      <a:fillRect/>
                    </a:stretch>
                  </pic:blipFill>
                  <pic:spPr>
                    <a:xfrm rot="0" flipH="0" flipV="0">
                      <a:off x="0" y="0"/>
                      <a:ext cx="3196437" cy="3334355"/>
                    </a:xfrm>
                    <a:prstGeom prst="rect">
                      <a:avLst/>
                    </a:prstGeom>
                  </pic:spPr>
                </pic:pic>
              </a:graphicData>
            </a:graphic>
          </wp:inline>
        </w:drawing>
      </w:r>
    </w:p>
    <w:p w:rsidR="735D3222" w:rsidRDefault="735D3222" w14:paraId="2DE793C8" w14:textId="0D71921E">
      <w:r w:rsidRPr="4D2C1BD1" w:rsidR="735D3222">
        <w:rPr>
          <w:rFonts w:ascii="Cambria" w:hAnsi="Cambria" w:eastAsia="Cambria" w:cs="Cambria"/>
          <w:noProof w:val="0"/>
          <w:sz w:val="22"/>
          <w:szCs w:val="22"/>
          <w:lang w:val="en-US"/>
        </w:rPr>
        <w:t>This pie chart represents students’ favorite programming languages. Python is the most popular, showing a strong preference likely due to its ease of use and relevance in data analysis. Other languages like C++ and Java have fewer supporters, which might reflect the curriculum focus or student familiarity.</w:t>
      </w:r>
    </w:p>
    <w:p xmlns:wp14="http://schemas.microsoft.com/office/word/2010/wordml" w14:paraId="0A37501D" wp14:textId="77777777">
      <w:r w:rsidR="4D2C1BD1">
        <w:drawing>
          <wp:inline xmlns:wp14="http://schemas.microsoft.com/office/word/2010/wordprocessingDrawing" wp14:editId="70E40114" wp14:anchorId="2AF01304">
            <wp:extent cx="4111444" cy="2858951"/>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c4d36fe54ab74be7">
                      <a:extLst>
                        <a:ext xmlns:a="http://schemas.openxmlformats.org/drawingml/2006/main" uri="{28A0092B-C50C-407E-A947-70E740481C1C}">
                          <a14:useLocalDpi val="0"/>
                        </a:ext>
                      </a:extLst>
                    </a:blip>
                    <a:stretch>
                      <a:fillRect/>
                    </a:stretch>
                  </pic:blipFill>
                  <pic:spPr>
                    <a:xfrm rot="0" flipH="0" flipV="0">
                      <a:off x="0" y="0"/>
                      <a:ext cx="4111444" cy="2858951"/>
                    </a:xfrm>
                    <a:prstGeom prst="rect">
                      <a:avLst/>
                    </a:prstGeom>
                  </pic:spPr>
                </pic:pic>
              </a:graphicData>
            </a:graphic>
          </wp:inline>
        </w:drawing>
      </w:r>
    </w:p>
    <w:p w:rsidR="50C5A0A1" w:rsidRDefault="50C5A0A1" w14:paraId="568F2607" w14:textId="00D90DC6">
      <w:r w:rsidRPr="4D2C1BD1" w:rsidR="50C5A0A1">
        <w:rPr>
          <w:rFonts w:ascii="Cambria" w:hAnsi="Cambria" w:eastAsia="Cambria" w:cs="Cambria"/>
          <w:noProof w:val="0"/>
          <w:sz w:val="22"/>
          <w:szCs w:val="22"/>
          <w:lang w:val="en-US"/>
        </w:rPr>
        <w:t>This scatter plot displays the relationship between students’ GPA and the number of hours they study per day outside of class. Each dot represents one student, plotting their GPA against their daily study time.</w:t>
      </w:r>
    </w:p>
    <w:p xmlns:wp14="http://schemas.microsoft.com/office/word/2010/wordml" w14:paraId="5DAB6C7B" wp14:textId="77777777">
      <w:r w:rsidR="4D2C1BD1">
        <w:drawing>
          <wp:inline xmlns:wp14="http://schemas.microsoft.com/office/word/2010/wordprocessingDrawing" wp14:editId="32B504A1" wp14:anchorId="12F8FBF7">
            <wp:extent cx="4289436" cy="2816713"/>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a8bc205f35b44c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89436" cy="2816713"/>
                    </a:xfrm>
                    <a:prstGeom prst="rect">
                      <a:avLst/>
                    </a:prstGeom>
                  </pic:spPr>
                </pic:pic>
              </a:graphicData>
            </a:graphic>
          </wp:inline>
        </w:drawing>
      </w:r>
    </w:p>
    <w:p w:rsidR="3E9DA28F" w:rsidP="4E1C073A" w:rsidRDefault="3E9DA28F" w14:paraId="1738224C" w14:textId="5FF6B2DA">
      <w:pPr>
        <w:rPr>
          <w:rFonts w:ascii="Cambria" w:hAnsi="Cambria" w:eastAsia="Cambria" w:cs="Cambria"/>
          <w:sz w:val="22"/>
          <w:szCs w:val="22"/>
        </w:rPr>
      </w:pPr>
      <w:r w:rsidRPr="4E1C073A" w:rsidR="3E9DA28F">
        <w:rPr>
          <w:rFonts w:ascii="Cambria" w:hAnsi="Cambria" w:eastAsia="Cambria" w:cs="Cambria"/>
          <w:noProof w:val="0"/>
          <w:sz w:val="22"/>
          <w:szCs w:val="22"/>
          <w:lang w:val="en-US"/>
        </w:rPr>
        <w:t xml:space="preserve">This scatter plot may show a correlation between hours studied and GPA. A </w:t>
      </w:r>
      <w:r w:rsidRPr="4E1C073A" w:rsidR="5194255B">
        <w:rPr>
          <w:rFonts w:ascii="Cambria" w:hAnsi="Cambria" w:eastAsia="Cambria" w:cs="Cambria"/>
          <w:noProof w:val="0"/>
          <w:sz w:val="22"/>
          <w:szCs w:val="22"/>
          <w:lang w:val="en-US"/>
        </w:rPr>
        <w:t xml:space="preserve">strong </w:t>
      </w:r>
      <w:r w:rsidRPr="4E1C073A" w:rsidR="3E9DA28F">
        <w:rPr>
          <w:rFonts w:ascii="Cambria" w:hAnsi="Cambria" w:eastAsia="Cambria" w:cs="Cambria"/>
          <w:noProof w:val="0"/>
          <w:sz w:val="22"/>
          <w:szCs w:val="22"/>
          <w:lang w:val="en-US"/>
        </w:rPr>
        <w:t xml:space="preserve">positive </w:t>
      </w:r>
      <w:r w:rsidRPr="4E1C073A" w:rsidR="79CC4061">
        <w:rPr>
          <w:rFonts w:ascii="Cambria" w:hAnsi="Cambria" w:eastAsia="Cambria" w:cs="Cambria"/>
          <w:noProof w:val="0"/>
          <w:sz w:val="22"/>
          <w:szCs w:val="22"/>
          <w:lang w:val="en-US"/>
        </w:rPr>
        <w:t>correlation [r = 0.88</w:t>
      </w:r>
      <w:r w:rsidRPr="4E1C073A" w:rsidR="79CC4061">
        <w:rPr>
          <w:rFonts w:ascii="Cambria" w:hAnsi="Cambria" w:eastAsia="Cambria" w:cs="Cambria"/>
          <w:noProof w:val="0"/>
          <w:sz w:val="22"/>
          <w:szCs w:val="22"/>
          <w:lang w:val="en-US"/>
        </w:rPr>
        <w:t>]</w:t>
      </w:r>
      <w:r w:rsidRPr="4E1C073A" w:rsidR="3E9DA28F">
        <w:rPr>
          <w:rFonts w:ascii="Cambria" w:hAnsi="Cambria" w:eastAsia="Cambria" w:cs="Cambria"/>
          <w:noProof w:val="0"/>
          <w:sz w:val="22"/>
          <w:szCs w:val="22"/>
          <w:lang w:val="en-US"/>
        </w:rPr>
        <w:t>.</w:t>
      </w:r>
      <w:r w:rsidRPr="4E1C073A" w:rsidR="3E9DA28F">
        <w:rPr>
          <w:rFonts w:ascii="Cambria" w:hAnsi="Cambria" w:eastAsia="Cambria" w:cs="Cambria"/>
          <w:noProof w:val="0"/>
          <w:sz w:val="22"/>
          <w:szCs w:val="22"/>
          <w:lang w:val="en-US"/>
        </w:rPr>
        <w:t xml:space="preserve"> </w:t>
      </w:r>
      <w:r w:rsidRPr="4E1C073A" w:rsidR="070FC4E0">
        <w:rPr>
          <w:rFonts w:ascii="Cambria" w:hAnsi="Cambria" w:eastAsia="Cambria" w:cs="Cambria"/>
          <w:noProof w:val="0"/>
          <w:sz w:val="22"/>
          <w:szCs w:val="22"/>
          <w:lang w:val="en-US"/>
        </w:rPr>
        <w:t>Students</w:t>
      </w:r>
      <w:r w:rsidRPr="4E1C073A" w:rsidR="3E9DA28F">
        <w:rPr>
          <w:rFonts w:ascii="Cambria" w:hAnsi="Cambria" w:eastAsia="Cambria" w:cs="Cambria"/>
          <w:noProof w:val="0"/>
          <w:sz w:val="22"/>
          <w:szCs w:val="22"/>
          <w:lang w:val="en-US"/>
        </w:rPr>
        <w:t xml:space="preserve"> who study more tend to have higher GPAs, supporting the</w:t>
      </w:r>
      <w:r w:rsidRPr="4E1C073A" w:rsidR="3277ABB8">
        <w:rPr>
          <w:rFonts w:ascii="Cambria" w:hAnsi="Cambria" w:eastAsia="Cambria" w:cs="Cambria"/>
          <w:noProof w:val="0"/>
          <w:sz w:val="22"/>
          <w:szCs w:val="22"/>
          <w:lang w:val="en-US"/>
        </w:rPr>
        <w:t xml:space="preserve"> </w:t>
      </w:r>
      <w:r w:rsidRPr="4E1C073A" w:rsidR="3277ABB8">
        <w:rPr>
          <w:rFonts w:ascii="Cambria" w:hAnsi="Cambria" w:eastAsia="Cambria" w:cs="Cambria" w:asciiTheme="minorAscii" w:hAnsiTheme="minorAscii" w:eastAsiaTheme="minorEastAsia" w:cstheme="minorBidi"/>
          <w:color w:val="auto"/>
          <w:sz w:val="22"/>
          <w:szCs w:val="22"/>
          <w:lang w:eastAsia="en-US" w:bidi="ar-SA"/>
        </w:rPr>
        <w:t>Alternative Hypothesis</w:t>
      </w:r>
    </w:p>
    <w:p xmlns:wp14="http://schemas.microsoft.com/office/word/2010/wordml" w14:paraId="02EB378F" wp14:textId="77777777">
      <w:r w:rsidR="4D2C1BD1">
        <w:drawing>
          <wp:inline xmlns:wp14="http://schemas.microsoft.com/office/word/2010/wordprocessingDrawing" wp14:editId="1CFAEAE0" wp14:anchorId="56BEE1D3">
            <wp:extent cx="4429125" cy="3465996"/>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ed52b3df0dc44e85">
                      <a:extLst>
                        <a:ext xmlns:a="http://schemas.openxmlformats.org/drawingml/2006/main" uri="{28A0092B-C50C-407E-A947-70E740481C1C}">
                          <a14:useLocalDpi val="0"/>
                        </a:ext>
                      </a:extLst>
                    </a:blip>
                    <a:stretch>
                      <a:fillRect/>
                    </a:stretch>
                  </pic:blipFill>
                  <pic:spPr>
                    <a:xfrm rot="0" flipH="0" flipV="0">
                      <a:off x="0" y="0"/>
                      <a:ext cx="4429125" cy="3465996"/>
                    </a:xfrm>
                    <a:prstGeom prst="rect">
                      <a:avLst/>
                    </a:prstGeom>
                  </pic:spPr>
                </pic:pic>
              </a:graphicData>
            </a:graphic>
          </wp:inline>
        </w:drawing>
      </w:r>
    </w:p>
    <w:p w:rsidR="17626539" w:rsidRDefault="17626539" w14:paraId="3FA87C04" w14:textId="0F8B95C0">
      <w:r w:rsidRPr="4D2C1BD1" w:rsidR="17626539">
        <w:rPr>
          <w:rFonts w:ascii="Cambria" w:hAnsi="Cambria" w:eastAsia="Cambria" w:cs="Cambria"/>
          <w:noProof w:val="0"/>
          <w:sz w:val="22"/>
          <w:szCs w:val="22"/>
          <w:lang w:val="en-US"/>
        </w:rPr>
        <w:t>This box plot shows GPA differences based on how often students watch online tutorials.</w:t>
      </w:r>
      <w:r>
        <w:br/>
      </w:r>
      <w:r w:rsidRPr="4D2C1BD1" w:rsidR="17626539">
        <w:rPr>
          <w:rFonts w:ascii="Cambria" w:hAnsi="Cambria" w:eastAsia="Cambria" w:cs="Cambria"/>
          <w:noProof w:val="0"/>
          <w:sz w:val="22"/>
          <w:szCs w:val="22"/>
          <w:lang w:val="en-US"/>
        </w:rPr>
        <w:t xml:space="preserve"> Students who frequently watch tutorials may have slightly higher GPAs</w:t>
      </w:r>
    </w:p>
    <w:p xmlns:wp14="http://schemas.microsoft.com/office/word/2010/wordml" w14:paraId="6A05A809" wp14:textId="77777777">
      <w:r w:rsidR="4D2C1BD1">
        <w:drawing>
          <wp:inline xmlns:wp14="http://schemas.microsoft.com/office/word/2010/wordprocessingDrawing" wp14:editId="5B4BBF1D" wp14:anchorId="118DC106">
            <wp:extent cx="3682351" cy="3020851"/>
            <wp:effectExtent l="0" t="0" r="0" b="0"/>
            <wp:docPr id="5" name="Picture 5" title=""/>
            <wp:cNvGraphicFramePr>
              <a:graphicFrameLocks noChangeAspect="1"/>
            </wp:cNvGraphicFramePr>
            <a:graphic>
              <a:graphicData uri="http://schemas.openxmlformats.org/drawingml/2006/picture">
                <pic:pic>
                  <pic:nvPicPr>
                    <pic:cNvPr id="0" name="Picture 5"/>
                    <pic:cNvPicPr/>
                  </pic:nvPicPr>
                  <pic:blipFill>
                    <a:blip r:embed="Rc0a4af73b9a44a5b">
                      <a:extLst>
                        <a:ext xmlns:a="http://schemas.openxmlformats.org/drawingml/2006/main" uri="{28A0092B-C50C-407E-A947-70E740481C1C}">
                          <a14:useLocalDpi val="0"/>
                        </a:ext>
                      </a:extLst>
                    </a:blip>
                    <a:stretch>
                      <a:fillRect/>
                    </a:stretch>
                  </pic:blipFill>
                  <pic:spPr>
                    <a:xfrm rot="0" flipH="0" flipV="0">
                      <a:off x="0" y="0"/>
                      <a:ext cx="3682351" cy="3020851"/>
                    </a:xfrm>
                    <a:prstGeom prst="rect">
                      <a:avLst/>
                    </a:prstGeom>
                  </pic:spPr>
                </pic:pic>
              </a:graphicData>
            </a:graphic>
          </wp:inline>
        </w:drawing>
      </w:r>
    </w:p>
    <w:p w:rsidR="0278C553" w:rsidRDefault="0278C553" w14:paraId="7CF07B5D" w14:textId="0E1E3631">
      <w:r w:rsidRPr="4D2C1BD1" w:rsidR="0278C553">
        <w:rPr>
          <w:rFonts w:ascii="Cambria" w:hAnsi="Cambria" w:eastAsia="Cambria" w:cs="Cambria"/>
          <w:noProof w:val="0"/>
          <w:sz w:val="22"/>
          <w:szCs w:val="22"/>
          <w:lang w:val="en-US"/>
        </w:rPr>
        <w:t>This bar chart compares preferences between digital and handwritten notes. A clear majority prefer digital notes, indicating a trend toward modern, tech-based study methods. This preference could relate to ease of organization and accessibility of digital materials.</w:t>
      </w:r>
    </w:p>
    <w:p xmlns:wp14="http://schemas.microsoft.com/office/word/2010/wordml" w14:paraId="5A39BBE3" wp14:textId="77777777">
      <w:r w:rsidR="4D2C1BD1">
        <w:drawing>
          <wp:inline xmlns:wp14="http://schemas.microsoft.com/office/word/2010/wordprocessingDrawing" wp14:editId="1FF16871" wp14:anchorId="2CE16E73">
            <wp:extent cx="5029200" cy="3251740"/>
            <wp:effectExtent l="0" t="0" r="0" b="0"/>
            <wp:docPr id="6" name="Picture 6" title=""/>
            <wp:cNvGraphicFramePr>
              <a:graphicFrameLocks noChangeAspect="1"/>
            </wp:cNvGraphicFramePr>
            <a:graphic>
              <a:graphicData uri="http://schemas.openxmlformats.org/drawingml/2006/picture">
                <pic:pic>
                  <pic:nvPicPr>
                    <pic:cNvPr id="0" name="Picture 6"/>
                    <pic:cNvPicPr/>
                  </pic:nvPicPr>
                  <pic:blipFill>
                    <a:blip r:embed="Rd4ed55f3044f4183">
                      <a:extLst>
                        <a:ext xmlns:a="http://schemas.openxmlformats.org/drawingml/2006/main" uri="{28A0092B-C50C-407E-A947-70E740481C1C}">
                          <a14:useLocalDpi val="0"/>
                        </a:ext>
                      </a:extLst>
                    </a:blip>
                    <a:stretch>
                      <a:fillRect/>
                    </a:stretch>
                  </pic:blipFill>
                  <pic:spPr>
                    <a:xfrm rot="0" flipH="0" flipV="0">
                      <a:off x="0" y="0"/>
                      <a:ext cx="5029200" cy="3251740"/>
                    </a:xfrm>
                    <a:prstGeom prst="rect">
                      <a:avLst/>
                    </a:prstGeom>
                  </pic:spPr>
                </pic:pic>
              </a:graphicData>
            </a:graphic>
          </wp:inline>
        </w:drawing>
      </w:r>
    </w:p>
    <w:p w:rsidR="534557F0" w:rsidRDefault="534557F0" w14:paraId="31FD4922" w14:textId="46ECAE1A">
      <w:r w:rsidRPr="4D2C1BD1" w:rsidR="534557F0">
        <w:rPr>
          <w:rFonts w:ascii="Cambria" w:hAnsi="Cambria" w:eastAsia="Cambria" w:cs="Cambria"/>
          <w:noProof w:val="0"/>
          <w:sz w:val="22"/>
          <w:szCs w:val="22"/>
          <w:lang w:val="en-US"/>
        </w:rPr>
        <w:t>This bar chart compares the average GPA of students based on whether they prefer digital or handwritten notes.</w:t>
      </w:r>
      <w:r w:rsidRPr="4D2C1BD1" w:rsidR="452A2223">
        <w:rPr>
          <w:rFonts w:ascii="Cambria" w:hAnsi="Cambria" w:eastAsia="Cambria" w:cs="Cambria"/>
          <w:noProof w:val="0"/>
          <w:sz w:val="22"/>
          <w:szCs w:val="22"/>
          <w:lang w:val="en-US"/>
        </w:rPr>
        <w:t xml:space="preserve"> Students who prefer digital notes have a slightly higher average GPA than those who prefer handwritten notes. This suggests that digital tools might support better academic outcomes, </w:t>
      </w:r>
      <w:r w:rsidRPr="4D2C1BD1" w:rsidR="452A2223">
        <w:rPr>
          <w:rFonts w:ascii="Cambria" w:hAnsi="Cambria" w:eastAsia="Cambria" w:cs="Cambria"/>
          <w:noProof w:val="0"/>
          <w:sz w:val="22"/>
          <w:szCs w:val="22"/>
          <w:lang w:val="en-US"/>
        </w:rPr>
        <w:t>possibly due to</w:t>
      </w:r>
      <w:r w:rsidRPr="4D2C1BD1" w:rsidR="452A2223">
        <w:rPr>
          <w:rFonts w:ascii="Cambria" w:hAnsi="Cambria" w:eastAsia="Cambria" w:cs="Cambria"/>
          <w:noProof w:val="0"/>
          <w:sz w:val="22"/>
          <w:szCs w:val="22"/>
          <w:lang w:val="en-US"/>
        </w:rPr>
        <w:t xml:space="preserve"> easier organization and accessibility.</w:t>
      </w:r>
    </w:p>
    <w:p w:rsidR="4E1C073A" w:rsidP="4E1C073A" w:rsidRDefault="4E1C073A" w14:paraId="4C2106C1" w14:textId="63D043C0">
      <w:pPr>
        <w:pStyle w:val="Heading1"/>
        <w:rPr>
          <w:b w:val="0"/>
          <w:bCs w:val="0"/>
          <w:noProof w:val="0"/>
          <w:lang w:val="en-US"/>
        </w:rPr>
      </w:pPr>
      <w:r w:rsidR="4E1C073A">
        <w:rPr/>
        <w:t>Conclusion</w:t>
      </w:r>
      <w:r>
        <w:br/>
      </w:r>
      <w:r>
        <w:br/>
      </w:r>
      <w:r w:rsidRPr="4E1C073A" w:rsidR="3971DEE6">
        <w:rPr>
          <w:rFonts w:ascii="Cambria" w:hAnsi="Cambria" w:eastAsia="ＭＳ 明朝" w:cs="" w:asciiTheme="minorAscii" w:hAnsiTheme="minorAscii" w:eastAsiaTheme="minorEastAsia" w:cstheme="minorBidi"/>
          <w:b w:val="0"/>
          <w:bCs w:val="0"/>
          <w:noProof w:val="0"/>
          <w:color w:val="auto"/>
          <w:sz w:val="22"/>
          <w:szCs w:val="22"/>
          <w:lang w:val="en-US" w:eastAsia="en-US" w:bidi="ar-SA"/>
        </w:rPr>
        <w:t xml:space="preserve">The analysis revealed a strong positive correlation </w:t>
      </w:r>
      <w:r w:rsidRPr="4E1C073A" w:rsidR="3971DEE6">
        <w:rPr>
          <w:rFonts w:ascii="Cambria" w:hAnsi="Cambria" w:eastAsia="ＭＳ 明朝" w:cs="" w:asciiTheme="minorAscii" w:hAnsiTheme="minorAscii" w:eastAsiaTheme="minorEastAsia" w:cstheme="minorBidi"/>
          <w:b w:val="1"/>
          <w:bCs w:val="1"/>
          <w:noProof w:val="0"/>
          <w:color w:val="auto"/>
          <w:sz w:val="22"/>
          <w:szCs w:val="22"/>
          <w:lang w:val="en-US" w:eastAsia="en-US" w:bidi="ar-SA"/>
        </w:rPr>
        <w:t>(r = 0.88)</w:t>
      </w:r>
      <w:r w:rsidRPr="4E1C073A" w:rsidR="3971DEE6">
        <w:rPr>
          <w:rFonts w:ascii="Cambria" w:hAnsi="Cambria" w:eastAsia="ＭＳ 明朝" w:cs="" w:asciiTheme="minorAscii" w:hAnsiTheme="minorAscii" w:eastAsiaTheme="minorEastAsia" w:cstheme="minorBidi"/>
          <w:b w:val="0"/>
          <w:bCs w:val="0"/>
          <w:noProof w:val="0"/>
          <w:color w:val="auto"/>
          <w:sz w:val="22"/>
          <w:szCs w:val="22"/>
          <w:lang w:val="en-US" w:eastAsia="en-US" w:bidi="ar-SA"/>
        </w:rPr>
        <w:t xml:space="preserve"> between the number of hours </w:t>
      </w:r>
      <w:r w:rsidRPr="4E1C073A" w:rsidR="30A490DE">
        <w:rPr>
          <w:rFonts w:ascii="Cambria" w:hAnsi="Cambria" w:eastAsia="ＭＳ 明朝" w:cs="" w:asciiTheme="minorAscii" w:hAnsiTheme="minorAscii" w:eastAsiaTheme="minorEastAsia" w:cstheme="minorBidi"/>
          <w:b w:val="0"/>
          <w:bCs w:val="0"/>
          <w:noProof w:val="0"/>
          <w:color w:val="auto"/>
          <w:sz w:val="22"/>
          <w:szCs w:val="22"/>
          <w:lang w:val="en-US" w:eastAsia="en-US" w:bidi="ar-SA"/>
        </w:rPr>
        <w:t>students'</w:t>
      </w:r>
      <w:r w:rsidRPr="4E1C073A" w:rsidR="3971DEE6">
        <w:rPr>
          <w:rFonts w:ascii="Cambria" w:hAnsi="Cambria" w:eastAsia="ＭＳ 明朝" w:cs="" w:asciiTheme="minorAscii" w:hAnsiTheme="minorAscii" w:eastAsiaTheme="minorEastAsia" w:cstheme="minorBidi"/>
          <w:b w:val="0"/>
          <w:bCs w:val="0"/>
          <w:noProof w:val="0"/>
          <w:color w:val="auto"/>
          <w:sz w:val="22"/>
          <w:szCs w:val="22"/>
          <w:lang w:val="en-US" w:eastAsia="en-US" w:bidi="ar-SA"/>
        </w:rPr>
        <w:t xml:space="preserve"> study per day outside of class and their total GPA. This suggests that increased study time is </w:t>
      </w:r>
      <w:r w:rsidRPr="4E1C073A" w:rsidR="3971DEE6">
        <w:rPr>
          <w:rFonts w:ascii="Cambria" w:hAnsi="Cambria" w:eastAsia="ＭＳ 明朝" w:cs="" w:asciiTheme="minorAscii" w:hAnsiTheme="minorAscii" w:eastAsiaTheme="minorEastAsia" w:cstheme="minorBidi"/>
          <w:b w:val="0"/>
          <w:bCs w:val="0"/>
          <w:noProof w:val="0"/>
          <w:color w:val="auto"/>
          <w:sz w:val="22"/>
          <w:szCs w:val="22"/>
          <w:lang w:val="en-US" w:eastAsia="en-US" w:bidi="ar-SA"/>
        </w:rPr>
        <w:t>closely associated</w:t>
      </w:r>
      <w:r w:rsidRPr="4E1C073A" w:rsidR="3971DEE6">
        <w:rPr>
          <w:rFonts w:ascii="Cambria" w:hAnsi="Cambria" w:eastAsia="ＭＳ 明朝" w:cs="" w:asciiTheme="minorAscii" w:hAnsiTheme="minorAscii" w:eastAsiaTheme="minorEastAsia" w:cstheme="minorBidi"/>
          <w:b w:val="0"/>
          <w:bCs w:val="0"/>
          <w:noProof w:val="0"/>
          <w:color w:val="auto"/>
          <w:sz w:val="22"/>
          <w:szCs w:val="22"/>
          <w:lang w:val="en-US" w:eastAsia="en-US" w:bidi="ar-SA"/>
        </w:rPr>
        <w:t xml:space="preserve"> with higher academic performance. The </w:t>
      </w:r>
      <w:r w:rsidRPr="4E1C073A" w:rsidR="3971DEE6">
        <w:rPr>
          <w:rFonts w:ascii="Cambria" w:hAnsi="Cambria" w:eastAsia="ＭＳ 明朝" w:cs="" w:asciiTheme="minorAscii" w:hAnsiTheme="minorAscii" w:eastAsiaTheme="minorEastAsia" w:cstheme="minorBidi"/>
          <w:b w:val="1"/>
          <w:bCs w:val="1"/>
          <w:noProof w:val="0"/>
          <w:color w:val="auto"/>
          <w:sz w:val="22"/>
          <w:szCs w:val="22"/>
          <w:lang w:val="en-US" w:eastAsia="en-US" w:bidi="ar-SA"/>
        </w:rPr>
        <w:t>mean</w:t>
      </w:r>
      <w:r w:rsidRPr="4E1C073A" w:rsidR="3971DEE6">
        <w:rPr>
          <w:rFonts w:ascii="Cambria" w:hAnsi="Cambria" w:eastAsia="ＭＳ 明朝" w:cs="" w:asciiTheme="minorAscii" w:hAnsiTheme="minorAscii" w:eastAsiaTheme="minorEastAsia" w:cstheme="minorBidi"/>
          <w:b w:val="0"/>
          <w:bCs w:val="0"/>
          <w:noProof w:val="0"/>
          <w:color w:val="auto"/>
          <w:sz w:val="22"/>
          <w:szCs w:val="22"/>
          <w:lang w:val="en-US" w:eastAsia="en-US" w:bidi="ar-SA"/>
        </w:rPr>
        <w:t xml:space="preserve"> GPA among surveyed students was</w:t>
      </w:r>
      <w:r w:rsidRPr="4E1C073A" w:rsidR="3971DEE6">
        <w:rPr>
          <w:rFonts w:ascii="Cambria" w:hAnsi="Cambria" w:eastAsia="ＭＳ 明朝" w:cs="" w:asciiTheme="minorAscii" w:hAnsiTheme="minorAscii" w:eastAsiaTheme="minorEastAsia" w:cstheme="minorBidi"/>
          <w:b w:val="1"/>
          <w:bCs w:val="1"/>
          <w:noProof w:val="0"/>
          <w:color w:val="auto"/>
          <w:sz w:val="22"/>
          <w:szCs w:val="22"/>
          <w:lang w:val="en-US" w:eastAsia="en-US" w:bidi="ar-SA"/>
        </w:rPr>
        <w:t xml:space="preserve"> 3.06</w:t>
      </w:r>
      <w:r w:rsidRPr="4E1C073A" w:rsidR="3971DEE6">
        <w:rPr>
          <w:rFonts w:ascii="Cambria" w:hAnsi="Cambria" w:eastAsia="ＭＳ 明朝" w:cs="" w:asciiTheme="minorAscii" w:hAnsiTheme="minorAscii" w:eastAsiaTheme="minorEastAsia" w:cstheme="minorBidi"/>
          <w:b w:val="0"/>
          <w:bCs w:val="0"/>
          <w:noProof w:val="0"/>
          <w:color w:val="auto"/>
          <w:sz w:val="22"/>
          <w:szCs w:val="22"/>
          <w:lang w:val="en-US" w:eastAsia="en-US" w:bidi="ar-SA"/>
        </w:rPr>
        <w:t>, while the</w:t>
      </w:r>
      <w:r w:rsidRPr="4E1C073A" w:rsidR="3971DEE6">
        <w:rPr>
          <w:rFonts w:ascii="Cambria" w:hAnsi="Cambria" w:eastAsia="ＭＳ 明朝" w:cs="" w:asciiTheme="minorAscii" w:hAnsiTheme="minorAscii" w:eastAsiaTheme="minorEastAsia" w:cstheme="minorBidi"/>
          <w:b w:val="1"/>
          <w:bCs w:val="1"/>
          <w:noProof w:val="0"/>
          <w:color w:val="auto"/>
          <w:sz w:val="22"/>
          <w:szCs w:val="22"/>
          <w:lang w:val="en-US" w:eastAsia="en-US" w:bidi="ar-SA"/>
        </w:rPr>
        <w:t xml:space="preserve"> median </w:t>
      </w:r>
      <w:r w:rsidRPr="4E1C073A" w:rsidR="3971DEE6">
        <w:rPr>
          <w:rFonts w:ascii="Cambria" w:hAnsi="Cambria" w:eastAsia="ＭＳ 明朝" w:cs="" w:asciiTheme="minorAscii" w:hAnsiTheme="minorAscii" w:eastAsiaTheme="minorEastAsia" w:cstheme="minorBidi"/>
          <w:b w:val="0"/>
          <w:bCs w:val="0"/>
          <w:noProof w:val="0"/>
          <w:color w:val="auto"/>
          <w:sz w:val="22"/>
          <w:szCs w:val="22"/>
          <w:lang w:val="en-US" w:eastAsia="en-US" w:bidi="ar-SA"/>
        </w:rPr>
        <w:t>GPA was</w:t>
      </w:r>
      <w:r w:rsidRPr="4E1C073A" w:rsidR="3971DEE6">
        <w:rPr>
          <w:rFonts w:ascii="Cambria" w:hAnsi="Cambria" w:eastAsia="ＭＳ 明朝" w:cs="" w:asciiTheme="minorAscii" w:hAnsiTheme="minorAscii" w:eastAsiaTheme="minorEastAsia" w:cstheme="minorBidi"/>
          <w:b w:val="1"/>
          <w:bCs w:val="1"/>
          <w:noProof w:val="0"/>
          <w:color w:val="auto"/>
          <w:sz w:val="22"/>
          <w:szCs w:val="22"/>
          <w:lang w:val="en-US" w:eastAsia="en-US" w:bidi="ar-SA"/>
        </w:rPr>
        <w:t xml:space="preserve"> 3.10</w:t>
      </w:r>
      <w:r w:rsidRPr="4E1C073A" w:rsidR="3971DEE6">
        <w:rPr>
          <w:rFonts w:ascii="Cambria" w:hAnsi="Cambria" w:eastAsia="ＭＳ 明朝" w:cs="" w:asciiTheme="minorAscii" w:hAnsiTheme="minorAscii" w:eastAsiaTheme="minorEastAsia" w:cstheme="minorBidi"/>
          <w:b w:val="0"/>
          <w:bCs w:val="0"/>
          <w:noProof w:val="0"/>
          <w:color w:val="auto"/>
          <w:sz w:val="22"/>
          <w:szCs w:val="22"/>
          <w:lang w:val="en-US" w:eastAsia="en-US" w:bidi="ar-SA"/>
        </w:rPr>
        <w:t xml:space="preserve">, </w:t>
      </w:r>
      <w:r w:rsidRPr="4E1C073A" w:rsidR="3971DEE6">
        <w:rPr>
          <w:rFonts w:ascii="Cambria" w:hAnsi="Cambria" w:eastAsia="ＭＳ 明朝" w:cs="" w:asciiTheme="minorAscii" w:hAnsiTheme="minorAscii" w:eastAsiaTheme="minorEastAsia" w:cstheme="minorBidi"/>
          <w:b w:val="0"/>
          <w:bCs w:val="0"/>
          <w:noProof w:val="0"/>
          <w:color w:val="auto"/>
          <w:sz w:val="22"/>
          <w:szCs w:val="22"/>
          <w:lang w:val="en-US" w:eastAsia="en-US" w:bidi="ar-SA"/>
        </w:rPr>
        <w:t>indicating</w:t>
      </w:r>
      <w:r w:rsidRPr="4E1C073A" w:rsidR="3971DEE6">
        <w:rPr>
          <w:rFonts w:ascii="Cambria" w:hAnsi="Cambria" w:eastAsia="ＭＳ 明朝" w:cs="" w:asciiTheme="minorAscii" w:hAnsiTheme="minorAscii" w:eastAsiaTheme="minorEastAsia" w:cstheme="minorBidi"/>
          <w:b w:val="0"/>
          <w:bCs w:val="0"/>
          <w:noProof w:val="0"/>
          <w:color w:val="auto"/>
          <w:sz w:val="22"/>
          <w:szCs w:val="22"/>
          <w:lang w:val="en-US" w:eastAsia="en-US" w:bidi="ar-SA"/>
        </w:rPr>
        <w:t xml:space="preserve"> a </w:t>
      </w:r>
      <w:r w:rsidRPr="4E1C073A" w:rsidR="3971DEE6">
        <w:rPr>
          <w:rFonts w:ascii="Cambria" w:hAnsi="Cambria" w:eastAsia="ＭＳ 明朝" w:cs="" w:asciiTheme="minorAscii" w:hAnsiTheme="minorAscii" w:eastAsiaTheme="minorEastAsia" w:cstheme="minorBidi"/>
          <w:b w:val="0"/>
          <w:bCs w:val="0"/>
          <w:noProof w:val="0"/>
          <w:color w:val="auto"/>
          <w:sz w:val="22"/>
          <w:szCs w:val="22"/>
          <w:lang w:val="en-US" w:eastAsia="en-US" w:bidi="ar-SA"/>
        </w:rPr>
        <w:t xml:space="preserve">generally </w:t>
      </w:r>
      <w:r w:rsidRPr="4E1C073A" w:rsidR="3971DEE6">
        <w:rPr>
          <w:rFonts w:ascii="Cambria" w:hAnsi="Cambria" w:eastAsia="ＭＳ 明朝" w:cs="" w:asciiTheme="minorAscii" w:hAnsiTheme="minorAscii" w:eastAsiaTheme="minorEastAsia" w:cstheme="minorBidi"/>
          <w:b w:val="0"/>
          <w:bCs w:val="0"/>
          <w:noProof w:val="0"/>
          <w:color w:val="auto"/>
          <w:sz w:val="22"/>
          <w:szCs w:val="22"/>
          <w:lang w:val="en-US" w:eastAsia="en-US" w:bidi="ar-SA"/>
        </w:rPr>
        <w:t>high</w:t>
      </w:r>
      <w:r w:rsidRPr="4E1C073A" w:rsidR="3971DEE6">
        <w:rPr>
          <w:rFonts w:ascii="Cambria" w:hAnsi="Cambria" w:eastAsia="ＭＳ 明朝" w:cs="" w:asciiTheme="minorAscii" w:hAnsiTheme="minorAscii" w:eastAsiaTheme="minorEastAsia" w:cstheme="minorBidi"/>
          <w:b w:val="0"/>
          <w:bCs w:val="0"/>
          <w:noProof w:val="0"/>
          <w:color w:val="auto"/>
          <w:sz w:val="22"/>
          <w:szCs w:val="22"/>
          <w:lang w:val="en-US" w:eastAsia="en-US" w:bidi="ar-SA"/>
        </w:rPr>
        <w:t xml:space="preserve"> level</w:t>
      </w:r>
      <w:r w:rsidRPr="4E1C073A" w:rsidR="3971DEE6">
        <w:rPr>
          <w:rFonts w:ascii="Cambria" w:hAnsi="Cambria" w:eastAsia="ＭＳ 明朝" w:cs="" w:asciiTheme="minorAscii" w:hAnsiTheme="minorAscii" w:eastAsiaTheme="minorEastAsia" w:cstheme="minorBidi"/>
          <w:b w:val="0"/>
          <w:bCs w:val="0"/>
          <w:noProof w:val="0"/>
          <w:color w:val="auto"/>
          <w:sz w:val="22"/>
          <w:szCs w:val="22"/>
          <w:lang w:val="en-US" w:eastAsia="en-US" w:bidi="ar-SA"/>
        </w:rPr>
        <w:t xml:space="preserve"> of academic achievement with a slightly right-skewed distribution.</w:t>
      </w:r>
    </w:p>
    <w:p w:rsidR="3C50D2D4" w:rsidP="4E1C073A" w:rsidRDefault="3C50D2D4" w14:paraId="279273E5" w14:textId="04408C45">
      <w:pPr>
        <w:spacing w:before="240" w:beforeAutospacing="off" w:after="240" w:afterAutospacing="off"/>
      </w:pPr>
      <w:r w:rsidRPr="4E1C073A" w:rsidR="3C50D2D4">
        <w:rPr>
          <w:rFonts w:ascii="Cambria" w:hAnsi="Cambria" w:eastAsia="Cambria" w:cs="Cambria"/>
          <w:noProof w:val="0"/>
          <w:sz w:val="22"/>
          <w:szCs w:val="22"/>
          <w:lang w:val="en-US"/>
        </w:rPr>
        <w:t>Additionally, a</w:t>
      </w:r>
      <w:r w:rsidRPr="4E1C073A" w:rsidR="3C50D2D4">
        <w:rPr>
          <w:rFonts w:ascii="Cambria" w:hAnsi="Cambria" w:eastAsia="Cambria" w:cs="Cambria"/>
          <w:b w:val="1"/>
          <w:bCs w:val="1"/>
          <w:noProof w:val="0"/>
          <w:sz w:val="22"/>
          <w:szCs w:val="22"/>
          <w:lang w:val="en-US"/>
        </w:rPr>
        <w:t xml:space="preserve"> positive relationship</w:t>
      </w:r>
      <w:r w:rsidRPr="4E1C073A" w:rsidR="3C50D2D4">
        <w:rPr>
          <w:rFonts w:ascii="Cambria" w:hAnsi="Cambria" w:eastAsia="Cambria" w:cs="Cambria"/>
          <w:noProof w:val="0"/>
          <w:sz w:val="22"/>
          <w:szCs w:val="22"/>
          <w:lang w:val="en-US"/>
        </w:rPr>
        <w:t xml:space="preserve"> was found between the frequency of watching online tutorials and students' GPAs. Students who reported watching tutorials more </w:t>
      </w:r>
      <w:r w:rsidRPr="4E1C073A" w:rsidR="3C50D2D4">
        <w:rPr>
          <w:rFonts w:ascii="Cambria" w:hAnsi="Cambria" w:eastAsia="Cambria" w:cs="Cambria"/>
          <w:noProof w:val="0"/>
          <w:sz w:val="22"/>
          <w:szCs w:val="22"/>
          <w:lang w:val="en-US"/>
        </w:rPr>
        <w:t>frequently</w:t>
      </w:r>
      <w:r w:rsidRPr="4E1C073A" w:rsidR="3C50D2D4">
        <w:rPr>
          <w:rFonts w:ascii="Cambria" w:hAnsi="Cambria" w:eastAsia="Cambria" w:cs="Cambria"/>
          <w:noProof w:val="0"/>
          <w:sz w:val="22"/>
          <w:szCs w:val="22"/>
          <w:lang w:val="en-US"/>
        </w:rPr>
        <w:t xml:space="preserve"> tended to have higher GPAs. This supports the idea that engaging with online tutorials can enhance academic performance.</w:t>
      </w:r>
    </w:p>
    <w:p w:rsidR="3C50D2D4" w:rsidP="4E1C073A" w:rsidRDefault="3C50D2D4" w14:paraId="6B65323E" w14:textId="2707830F">
      <w:pPr>
        <w:spacing w:before="240" w:beforeAutospacing="off" w:after="240" w:afterAutospacing="off"/>
      </w:pPr>
      <w:r w:rsidRPr="4E1C073A" w:rsidR="3C50D2D4">
        <w:rPr>
          <w:rFonts w:ascii="Cambria" w:hAnsi="Cambria" w:eastAsia="Cambria" w:cs="Cambria"/>
          <w:noProof w:val="0"/>
          <w:sz w:val="22"/>
          <w:szCs w:val="22"/>
          <w:lang w:val="en-US"/>
        </w:rPr>
        <w:t xml:space="preserve">Given these results, we </w:t>
      </w:r>
      <w:r w:rsidRPr="4E1C073A" w:rsidR="3C50D2D4">
        <w:rPr>
          <w:rFonts w:ascii="Cambria" w:hAnsi="Cambria" w:eastAsia="Cambria" w:cs="Cambria"/>
          <w:b w:val="1"/>
          <w:bCs w:val="1"/>
          <w:noProof w:val="0"/>
          <w:sz w:val="22"/>
          <w:szCs w:val="22"/>
          <w:lang w:val="en-US"/>
        </w:rPr>
        <w:t>reject the null hypothesis</w:t>
      </w:r>
      <w:r w:rsidRPr="4E1C073A" w:rsidR="3C50D2D4">
        <w:rPr>
          <w:rFonts w:ascii="Cambria" w:hAnsi="Cambria" w:eastAsia="Cambria" w:cs="Cambria"/>
          <w:noProof w:val="0"/>
          <w:sz w:val="22"/>
          <w:szCs w:val="22"/>
          <w:lang w:val="en-US"/>
        </w:rPr>
        <w:t xml:space="preserve">, as students who study more hours outside class and watch online tutorials more </w:t>
      </w:r>
      <w:r w:rsidRPr="4E1C073A" w:rsidR="3C50D2D4">
        <w:rPr>
          <w:rFonts w:ascii="Cambria" w:hAnsi="Cambria" w:eastAsia="Cambria" w:cs="Cambria"/>
          <w:noProof w:val="0"/>
          <w:sz w:val="22"/>
          <w:szCs w:val="22"/>
          <w:lang w:val="en-US"/>
        </w:rPr>
        <w:t>frequently</w:t>
      </w:r>
      <w:r w:rsidRPr="4E1C073A" w:rsidR="3C50D2D4">
        <w:rPr>
          <w:rFonts w:ascii="Cambria" w:hAnsi="Cambria" w:eastAsia="Cambria" w:cs="Cambria"/>
          <w:noProof w:val="0"/>
          <w:sz w:val="22"/>
          <w:szCs w:val="22"/>
          <w:lang w:val="en-US"/>
        </w:rPr>
        <w:t xml:space="preserve"> tend to have higher GPAs. This statistically significant relationship supports the notion that time invested in studying and tutorial engagement both have measurable impacts on academic outcomes.</w:t>
      </w:r>
    </w:p>
    <w:p w:rsidR="7AEDB3CE" w:rsidP="4E1C073A" w:rsidRDefault="7AEDB3CE" w14:paraId="04A56D1A" w14:textId="237A61AA">
      <w:pPr>
        <w:spacing w:before="240" w:beforeAutospacing="off" w:after="240" w:afterAutospacing="off"/>
      </w:pPr>
      <w:r w:rsidRPr="4E1C073A" w:rsidR="7AEDB3CE">
        <w:rPr>
          <w:noProof w:val="0"/>
          <w:lang w:val="en-US"/>
        </w:rPr>
        <w:t xml:space="preserve">These findings underscore the importance of consistent study routines and time management. Future research could explore </w:t>
      </w:r>
      <w:r w:rsidRPr="4E1C073A" w:rsidR="7AEDB3CE">
        <w:rPr>
          <w:noProof w:val="0"/>
          <w:lang w:val="en-US"/>
        </w:rPr>
        <w:t>additional</w:t>
      </w:r>
      <w:r w:rsidRPr="4E1C073A" w:rsidR="7AEDB3CE">
        <w:rPr>
          <w:noProof w:val="0"/>
          <w:lang w:val="en-US"/>
        </w:rPr>
        <w:t xml:space="preserve"> factors</w:t>
      </w:r>
      <w:r w:rsidRPr="4E1C073A" w:rsidR="7E54F493">
        <w:rPr>
          <w:noProof w:val="0"/>
          <w:lang w:val="en-US"/>
        </w:rPr>
        <w:t xml:space="preserve"> </w:t>
      </w:r>
      <w:r w:rsidRPr="4E1C073A" w:rsidR="7AEDB3CE">
        <w:rPr>
          <w:noProof w:val="0"/>
          <w:lang w:val="en-US"/>
        </w:rPr>
        <w:t>like sleep habits, types of study methods, or tutorial engagement</w:t>
      </w:r>
      <w:r w:rsidRPr="4E1C073A" w:rsidR="4CD45B07">
        <w:rPr>
          <w:noProof w:val="0"/>
          <w:lang w:val="en-US"/>
        </w:rPr>
        <w:t xml:space="preserve"> </w:t>
      </w:r>
      <w:r w:rsidRPr="4E1C073A" w:rsidR="7AEDB3CE">
        <w:rPr>
          <w:noProof w:val="0"/>
          <w:lang w:val="en-US"/>
        </w:rPr>
        <w:t>to build a more comprehensive model of academic success.</w:t>
      </w:r>
    </w:p>
    <w:p w:rsidR="4E1C073A" w:rsidP="4E1C073A" w:rsidRDefault="4E1C073A" w14:paraId="5FADE74A" w14:textId="185E8D1D">
      <w:pPr>
        <w:pStyle w:val="Normal"/>
      </w:pPr>
    </w:p>
    <w:p xmlns:wp14="http://schemas.microsoft.com/office/word/2010/wordml" w14:paraId="7737E794" wp14:textId="77777777">
      <w:pPr>
        <w:pStyle w:val="Heading1"/>
      </w:pPr>
      <w:r w:rsidR="4E1C073A">
        <w:rPr/>
        <w:t>Any Potential Issues</w:t>
      </w:r>
    </w:p>
    <w:p w:rsidR="76B1CF8A" w:rsidRDefault="76B1CF8A" w14:paraId="6CCA5485" w14:textId="614D7023">
      <w:r w:rsidRPr="4E1C073A" w:rsidR="76B1CF8A">
        <w:rPr>
          <w:rFonts w:ascii="Cambria" w:hAnsi="Cambria" w:eastAsia="Cambria" w:cs="Cambria"/>
          <w:noProof w:val="0"/>
          <w:sz w:val="22"/>
          <w:szCs w:val="22"/>
          <w:lang w:val="en-US"/>
        </w:rPr>
        <w:t>While the findings of this study offer valuable insights, several limitations should be acknowledged. First, the sample size is relatively small, which may affect the generalizability of the results to the broader student population. Additionally, although stratified random sampling was employed, there may still be underlying biases in how students responded to the survey—such as social desirability bias or selective non-response.</w:t>
      </w:r>
    </w:p>
    <w:p w:rsidR="76B1CF8A" w:rsidRDefault="76B1CF8A" w14:paraId="0367E69E" w14:textId="4C4F21A1">
      <w:r w:rsidRPr="4E1C073A" w:rsidR="76B1CF8A">
        <w:rPr>
          <w:rFonts w:ascii="Cambria" w:hAnsi="Cambria" w:eastAsia="Cambria" w:cs="Cambria"/>
          <w:noProof w:val="0"/>
          <w:sz w:val="22"/>
          <w:szCs w:val="22"/>
          <w:lang w:val="en-US"/>
        </w:rPr>
        <w:t xml:space="preserve">Finally, while a strong correlation between study hours and GPA was found, </w:t>
      </w:r>
      <w:r w:rsidRPr="4E1C073A" w:rsidR="76B1CF8A">
        <w:rPr>
          <w:rFonts w:ascii="Cambria" w:hAnsi="Cambria" w:eastAsia="Cambria" w:cs="Cambria"/>
          <w:b w:val="1"/>
          <w:bCs w:val="1"/>
          <w:noProof w:val="0"/>
          <w:sz w:val="22"/>
          <w:szCs w:val="22"/>
          <w:lang w:val="en-US"/>
        </w:rPr>
        <w:t>correlation does not imply causation</w:t>
      </w:r>
      <w:r w:rsidRPr="4E1C073A" w:rsidR="76B1CF8A">
        <w:rPr>
          <w:rFonts w:ascii="Cambria" w:hAnsi="Cambria" w:eastAsia="Cambria" w:cs="Cambria"/>
          <w:noProof w:val="0"/>
          <w:sz w:val="22"/>
          <w:szCs w:val="22"/>
          <w:lang w:val="en-US"/>
        </w:rPr>
        <w:t>. Further experimental or longitudinal studies would be necessary to establish a causal relationship.</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2C569"/>
    <w:rsid w:val="0029639D"/>
    <w:rsid w:val="00326F90"/>
    <w:rsid w:val="00AA1D8D"/>
    <w:rsid w:val="00B47730"/>
    <w:rsid w:val="00CB0664"/>
    <w:rsid w:val="00FC693F"/>
    <w:rsid w:val="015A735C"/>
    <w:rsid w:val="0278C553"/>
    <w:rsid w:val="070FC4E0"/>
    <w:rsid w:val="0740D6A9"/>
    <w:rsid w:val="0F734680"/>
    <w:rsid w:val="11023772"/>
    <w:rsid w:val="11023772"/>
    <w:rsid w:val="11DDD223"/>
    <w:rsid w:val="11E065CA"/>
    <w:rsid w:val="11E065CA"/>
    <w:rsid w:val="149F0443"/>
    <w:rsid w:val="17626539"/>
    <w:rsid w:val="19EAB958"/>
    <w:rsid w:val="1AE4500C"/>
    <w:rsid w:val="1B87D5B6"/>
    <w:rsid w:val="1C67DD24"/>
    <w:rsid w:val="1F0D7B81"/>
    <w:rsid w:val="2448D4DC"/>
    <w:rsid w:val="25D3C45F"/>
    <w:rsid w:val="26A1923C"/>
    <w:rsid w:val="26A1923C"/>
    <w:rsid w:val="2910AC65"/>
    <w:rsid w:val="2910AC65"/>
    <w:rsid w:val="2F882896"/>
    <w:rsid w:val="30A490DE"/>
    <w:rsid w:val="31624B78"/>
    <w:rsid w:val="3277ABB8"/>
    <w:rsid w:val="32CE56E8"/>
    <w:rsid w:val="32D1055F"/>
    <w:rsid w:val="336AA90C"/>
    <w:rsid w:val="3971DEE6"/>
    <w:rsid w:val="3AA4CF4B"/>
    <w:rsid w:val="3C50D2D4"/>
    <w:rsid w:val="3E05C4EA"/>
    <w:rsid w:val="3E9DA28F"/>
    <w:rsid w:val="42547ED9"/>
    <w:rsid w:val="44D784CF"/>
    <w:rsid w:val="452A2223"/>
    <w:rsid w:val="4CD45B07"/>
    <w:rsid w:val="4D111089"/>
    <w:rsid w:val="4D2C1BD1"/>
    <w:rsid w:val="4E1C073A"/>
    <w:rsid w:val="50B3E4FC"/>
    <w:rsid w:val="50C5A0A1"/>
    <w:rsid w:val="5194255B"/>
    <w:rsid w:val="534557F0"/>
    <w:rsid w:val="58F8A4FA"/>
    <w:rsid w:val="5ADCDA5A"/>
    <w:rsid w:val="5B2B6643"/>
    <w:rsid w:val="5B2B6643"/>
    <w:rsid w:val="65D9F899"/>
    <w:rsid w:val="6658FB2B"/>
    <w:rsid w:val="66819E4E"/>
    <w:rsid w:val="6827D3EF"/>
    <w:rsid w:val="6D28DC5F"/>
    <w:rsid w:val="6D28DC5F"/>
    <w:rsid w:val="7104B3FD"/>
    <w:rsid w:val="71345D2F"/>
    <w:rsid w:val="71345D2F"/>
    <w:rsid w:val="735D3222"/>
    <w:rsid w:val="75A4152F"/>
    <w:rsid w:val="75A4152F"/>
    <w:rsid w:val="75AD62A9"/>
    <w:rsid w:val="76B1CF8A"/>
    <w:rsid w:val="770BC0AA"/>
    <w:rsid w:val="7786C7AF"/>
    <w:rsid w:val="79CC4061"/>
    <w:rsid w:val="7AEDB3CE"/>
    <w:rsid w:val="7B4512FE"/>
    <w:rsid w:val="7B7188B1"/>
    <w:rsid w:val="7E54F493"/>
    <w:rsid w:val="7FCA9101"/>
    <w:rsid w:val="7FE87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79BB9905-FBF0-44A0-BEFC-092D90EB55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7.png" Id="Reb6aafe3844d4b4f" /><Relationship Type="http://schemas.openxmlformats.org/officeDocument/2006/relationships/image" Target="../media/image8.png" Id="Rc4d36fe54ab74be7" /><Relationship Type="http://schemas.openxmlformats.org/officeDocument/2006/relationships/image" Target="../media/imagea.png" Id="Red52b3df0dc44e85" /><Relationship Type="http://schemas.openxmlformats.org/officeDocument/2006/relationships/image" Target="../media/imageb.png" Id="Rc0a4af73b9a44a5b" /><Relationship Type="http://schemas.openxmlformats.org/officeDocument/2006/relationships/image" Target="../media/imagec.png" Id="Rd4ed55f3044f4183" /><Relationship Type="http://schemas.openxmlformats.org/officeDocument/2006/relationships/image" Target="/media/imaged.png" Id="Ra8bc205f35b44c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Magdy Omar Aly Abdelatif</lastModifiedBy>
  <revision>3</revision>
  <dcterms:created xsi:type="dcterms:W3CDTF">2013-12-23T23:15:00.0000000Z</dcterms:created>
  <dcterms:modified xsi:type="dcterms:W3CDTF">2025-05-05T19:37:43.8417377Z</dcterms:modified>
  <category/>
</coreProperties>
</file>