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yyy</w:t>
      </w:r>
    </w:p>
    <w:p w14:paraId="6166AEF3" w14:textId="59EBF09A" w:rsidR="004B02A4" w:rsidRDefault="008A657C" w:rsidP="008A657C">
      <w:r>
        <w:t>Generated on nnnn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uuuuuu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