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jjjjjjjjjj</w:t>
      </w:r>
    </w:p>
    <w:p w14:paraId="6166AEF3" w14:textId="59EBF09A" w:rsidR="004B02A4" w:rsidRDefault="008A657C" w:rsidP="008A657C">
      <w:r>
        <w:t>Generated on uuuuuuuuu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color w:val="00206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رأس المال العامل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2.18%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7,128,532,535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7,283,982,133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#DIV/0!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29.51%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47.01%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-57.02%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25.98%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0.26%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7777777777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