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14:46:58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Controls.description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</w:tr>
    </w:tbl>
    <w:p/>
    <w:p>
      <w:pPr>
        <w:jc w:val="left"/>
      </w:pPr>
      <w:r>
        <w:rPr>
          <w:color w:val="808080"/>
          <w:sz w:val="16"/>
        </w:rPr>
        <w:t>Generated on: 2025-10-16 14:46:58 | Confidential Report - Internal Use Only000 | Page &amp;P of &amp;N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