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1F1A" w:val="clear"/>
            <w:vAlign w:val="top"/>
          </w:tcPr>
          <w:p>
            <w:pPr>
              <w:spacing w:before="4175"/>
            </w:pPr>
          </w:p>
          <w:p>
            <w:pPr>
              <w:pBdr>
                <w:bottom w:val="single" w:color="3DDBB5" w:sz="6" w:space="8"/>
              </w:pBdr>
              <w:spacing w:after="500"/>
              <w:ind w:left="1200" w:right="800"/>
            </w:pPr>
            <w:r>
              <w:rPr>
                <w:rFonts w:ascii="Arial" w:eastAsia="SimHei"/>
                <w:color w:val="3DDBB5"/>
                <w:spacing w:val="40"/>
                <w:sz w:val="18"/>
                <w:szCs w:val="18"/>
              </w:rPr>
              <w:t xml:space="preserve">S  1     W  I  N  D  T  H  R  O  W     W  O  R  K  F  L  O  W</w:t>
            </w:r>
          </w:p>
          <w:p>
            <w:pPr>
              <w:spacing w:after="100" w:line="828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72"/>
                <w:szCs w:val="72"/>
              </w:rPr>
              <w:t xml:space="preserve">Воркфлоу детектирования</w:t>
            </w:r>
          </w:p>
          <w:p>
            <w:pPr>
              <w:spacing w:after="300" w:line="828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72"/>
                <w:szCs w:val="72"/>
              </w:rPr>
              <w:t xml:space="preserve">ветровалов по Sentinel-1</w:t>
            </w:r>
          </w:p>
          <w:p>
            <w:pPr>
              <w:spacing w:after="800" w:line="320" w:lineRule="atLeast"/>
              <w:ind w:left="1200" w:right="8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Техническая спецификация для плагина QGIS: временные окна, предобработка, алгоритм, автоматизация</w:t>
            </w:r>
          </w:p>
          <w:p>
            <w:pPr>
              <w:pBdr>
                <w:left w:val="single" w:color="3DDBB5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Основание: аналитический обзор SAR-методов (2026)</w:t>
            </w:r>
          </w:p>
          <w:p>
            <w:pPr>
              <w:pBdr>
                <w:left w:val="single" w:color="3DDBB5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Базовый алгоритм: индекс ветровала WI, Rüetschi et al. (2019)</w:t>
            </w:r>
          </w:p>
          <w:p>
            <w:pPr>
              <w:pBdr>
                <w:left w:val="single" w:color="3DDBB5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Стек: Sentinel-1 IW GRD, SNAP gpt, QGIS Processing</w:t>
            </w:r>
          </w:p>
          <w:p>
            <w:pPr>
              <w:pBdr>
                <w:left w:val="single" w:color="3DDBB5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Продукт: контуры ветровалов от 0,5 га + отчёт QC</w:t>
            </w:r>
          </w:p>
          <w:p>
            <w:pPr>
              <w:spacing w:before="4175"/>
            </w:pPr>
          </w:p>
          <w:p>
            <w:pPr>
              <w:pBdr>
                <w:top w:val="single" w:color="3DDBB5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Техническая спецификация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Август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240" w:before="240"/>
        <w:jc w:val="center"/>
      </w:pPr>
      <w:r>
        <w:rPr>
          <w:rFonts w:ascii="Arial" w:eastAsia="SimHei"/>
          <w:b/>
          <w:bCs/>
          <w:color w:val="1A4A3C"/>
          <w:sz w:val="32"/>
          <w:szCs w:val="32"/>
        </w:rPr>
        <w:t xml:space="preserve">Аннотация</w:t>
      </w:r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Настоящая спецификация определяет сквозной рабочий процесс (воркфлоу) детектирования ветровалов по данным радиолокатора Sentinel-1 как основу для доработки плагина QGIS. Документ является продолжением аналитического обзора SAR-методов и опирается на его выводы: базовым алгоритмом принят пороговый разновременной анализ по индексу ветровала WI с радиометрически выровненными композитами гамма-ноль, показавший полноту 0,85–0,88 для ареальных ветровалов от 0,5 га. Рассмотрены четыре ключевых вопроса воркфлоу: временной диапазон используемых съёмок, обязательные этапы предобработки GRD-продуктов, последовательность действий после предобработки и механизмы автоматизации всей цепочки в среде QGIS.</w:t>
      </w:r>
    </w:p>
    <w:p>
      <w:pPr>
        <w:spacing w:after="12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Для каждого этапа зафиксированы входные и выходные данные, используемые операторы, параметры по умолчанию с допустимыми диапазонами и критерии приёмки. Спецификация учитывает наличие у разработчика работающего плагина загрузки и базовой предобработки Sentinel-1: этапы, уже покрытые этим плагином, помечены отдельно, а новые модули спроектированы в архитектуре Processing-провайдера QGIS. Документ предназначен для использования как техническое задание при программировании плагина и как инструкция по настройке параметров при его эксплуатации.</w:t>
      </w:r>
    </w:p>
    <w:p>
      <w:pPr>
        <w:spacing w:after="80" w:line="312"/>
        <w:ind w:firstLine="709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Ключевые слова: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ветровал, Sentinel-1, гамма-ноль, радиометрическое выравнивание рельефа, индекс ветровала, разновременной анализ, QGIS, автоматизация, мониторинг.</w:t>
      </w:r>
    </w:p>
    <w:p>
      <w:pPr>
        <w:spacing w:line="312"/>
      </w:pPr>
      <w:r>
        <w:rPr>
          <w:rFonts w:ascii="Times New Roman" w:eastAsia="SimSun"/>
          <w:color w:val="000000"/>
          <w:sz w:val="24"/>
          <w:szCs w:val="24"/>
        </w:rPr>
        <w:t xml:space="preserve">Спецификация подготовлена как техническое задание на доработку плагина QGIS.</w:t>
      </w:r>
      <w:r>
        <w:br w:type="page"/>
      </w:r>
    </w:p>
    <w:p>
      <w:pPr>
        <w:spacing w:after="360" w:before="240"/>
        <w:jc w:val="center"/>
      </w:pPr>
      <w:r>
        <w:rPr>
          <w:rFonts w:ascii="Arial" w:eastAsia="SimHei"/>
          <w:b/>
          <w:bCs/>
          <w:color w:val="1A4A3C"/>
          <w:sz w:val="32"/>
          <w:szCs w:val="32"/>
        </w:rPr>
        <w:t xml:space="preserve">Содержание</w:t>
      </w:r>
    </w:p>
    <w:sdt>
      <w:sdtPr>
        <w:alias w:val="Оглавление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Назначение и рамки спецификации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1.1. Назначение документа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1.2. Границы применения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1.3. Термины и обозначения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2. Общая схема воркфлоу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3. Временной диапазон данных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3.1. Окна съёмки в режиме пост-штормового картирования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3.2. Сезонные ограничения бореальной зоны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3.3. Режим мониторинга без заданной даты бури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3.4. Частота съёмки и доступ к данным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4. Этапы предобработки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4.1. Обязательная цепочка операторов для GRD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4.2. Радиометрическое выравнивание рельефа: почему именно гамма-ноль RTC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4.3. Спекл-шум и роль мультитемпорального композита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4.4. Цифровая модель рельефа и точки контроля существующего плагина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5. Детектирование ветровалов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5.1. Сигнатура повреждения и индекс WI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5.2. Пороговое решение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5.3. Объектная фильтрация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5.4. Маска леса и подавление ложных срабатываний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5.5. Сводные параметры алгоритма и ожидаемая точность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6. Векторизация и выходные продукты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6.1. Построение контуров и атрибутика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6.2. Экспресс-проверка на оптике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7. Автоматизация в QGIS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7.1. Архитектура модулей и интеграция с существующим плагином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7.2. Механизм исполнения: Processing-провайдер и пакетные графы SNAP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7.3. Пресеты параметров и воспроизводимость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7.4. Режим мониторинга и оповещения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8. Дорожная карта реализации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9. Заключение: ответы на ключевые вопросы воркфлоу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Список литературы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Примечание: оглавление построено на полях Word. После редактирования документа щёлкните по оглавлению правой кнопкой мыши и выберите «Обновить поле» для актуализации номеров страниц.</w:t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60" w:before="360" w:line="312"/>
      </w:pPr>
      <w:bookmarkStart w:id="100000" w:name="_Toc100000"/>
      <w:r>
        <w:rPr>
          <w:rFonts w:ascii="Arial" w:eastAsia="SimHei"/>
          <w:b/>
          <w:bCs/>
          <w:color w:val="1A4A3C"/>
          <w:sz w:val="32"/>
          <w:szCs w:val="32"/>
        </w:rPr>
        <w:t xml:space="preserve">1. Назначение и рамки спецификации</w:t>
      </w:r>
      <w:bookmarkEnd w:id="100000"/>
    </w:p>
    <w:p>
      <w:pPr>
        <w:pStyle w:val="Heading2"/>
        <w:spacing w:after="120" w:before="240" w:line="312"/>
      </w:pPr>
      <w:bookmarkStart w:id="100001" w:name="_Toc100001"/>
      <w:r>
        <w:rPr>
          <w:rFonts w:ascii="Arial" w:eastAsia="SimHei"/>
          <w:b/>
          <w:bCs/>
          <w:color w:val="1A4A3C"/>
          <w:sz w:val="28"/>
          <w:szCs w:val="28"/>
        </w:rPr>
        <w:t xml:space="preserve">1.1. Назначение документа</w:t>
      </w:r>
      <w:bookmarkEnd w:id="100001"/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Спецификация формализует полный рабочий процесс детектирования ветровалов по многосценовым радарным данным Sentinel-1 и служит техническим заданием на доработку плагина QGIS. Исходное состояние проекта — работающий плагин, обеспечивающий поиск, загрузку и базовую предобработку GRD-продуктов Sentinel-1. Задача настоящего документа — определить, какие временные окна съёмок задавать для конкретного штормового события, какие операторы предобработки обязательны и с какими параметрами, как по подготовленным данным вычислять карту ветровалов и какие программные механизмы QGIS обеспечивают автоматизацию всей цепочки от запроса данных до итоговых слоёв и отчёта.</w:t>
      </w:r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Методологической основой спецификации является пороговый алгоритм Rüetschi, Small и Waser (2019), разработанный и валидированный на двух независимых тестовых участках в Швейцарии и Германии; именно этот метод обеспечивает баланс между простотой реализации в плагине, скоростью получения результата и подтверждённой точностью. Усовершенствованные подходы — вероятностные системы алертов Reiche (2021) и van der Woude (2026), машинное обучение Dalponte (2023) и Kuzu (2024) — рассматриваются как направления развития и учтены в дорожной карте, но в базовую версию плагина не включены.</w:t>
      </w:r>
    </w:p>
    <w:p>
      <w:pPr>
        <w:pStyle w:val="Heading2"/>
        <w:spacing w:after="120" w:before="240" w:line="312"/>
      </w:pPr>
      <w:bookmarkStart w:id="100002" w:name="_Toc100002"/>
      <w:r>
        <w:rPr>
          <w:rFonts w:ascii="Arial" w:eastAsia="SimHei"/>
          <w:b/>
          <w:bCs/>
          <w:color w:val="1A4A3C"/>
          <w:sz w:val="28"/>
          <w:szCs w:val="28"/>
        </w:rPr>
        <w:t xml:space="preserve">1.2. Границы применения</w:t>
      </w:r>
      <w:bookmarkEnd w:id="100002"/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Продуктом плагина являются векторные контуры ветровалов площадью не менее 0,5 га, сопутствующий растр индекса ветровала и отчёт контроля качества. Объектом детектирования выступает ареальный ветровал — групповые вывалы и сломы древесного яруса; единичные поваленные деревья и мелкие прогалины меньше минимальной единицы картирования по физике метода не различимы на данных Sentinel-1 и осознанно исключены из области обнаружения. Интерферометрическая обработка SLC-съёмки, оценка объёма повреждённой древесины и автоматическая классификация типа повреждения в спецификацию не входят.</w:t>
      </w:r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Географическая область применения — бореальные и умеренные леса, включая территорию России, где облачность в первые недели после шторма регулярно блокирует оптическую съёмку, а SAR-решения до настоящего времени в производственной практике не применялись. Все рекомендации по сезонным окнам и цифровой модели рельефа сформулированы с учётом именно этих широт. Спецификация исходит из использования открытых данных миссии Sentinel-1 и открытого программного обеспечения: SNAP (ESA) для предобработки и QGIS для детектирования, векторизации и отчётности.</w:t>
      </w:r>
    </w:p>
    <w:p>
      <w:pPr>
        <w:pStyle w:val="Heading2"/>
        <w:spacing w:after="120" w:before="240" w:line="312"/>
      </w:pPr>
      <w:bookmarkStart w:id="100003" w:name="_Toc100003"/>
      <w:r>
        <w:rPr>
          <w:rFonts w:ascii="Arial" w:eastAsia="SimHei"/>
          <w:b/>
          <w:bCs/>
          <w:color w:val="1A4A3C"/>
          <w:sz w:val="28"/>
          <w:szCs w:val="28"/>
        </w:rPr>
        <w:t xml:space="preserve">1.3. Термины и обозначения</w:t>
      </w:r>
      <w:bookmarkEnd w:id="100003"/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В таблице 1 приведены основные термины, используемые далее по тексту. Обозначение гамма-ноль с индексом RTC означает радиометрически выровненный по рельефу коэффициент обратного рассеяния; подробное обоснование обязательности именно этой величины дано в разделе 4.2.</w:t>
      </w:r>
    </w:p>
    <w:p>
      <w:pPr>
        <w:keepNext/>
        <w:spacing w:after="100" w:before="160" w:line="312"/>
        <w:jc w:val="left"/>
      </w:pPr>
      <w:r>
        <w:rPr>
          <w:rFonts w:ascii="Arial" w:eastAsia="SimHei"/>
          <w:b/>
          <w:bCs/>
          <w:color w:val="1A4A3C"/>
          <w:sz w:val="21"/>
          <w:szCs w:val="21"/>
        </w:rPr>
        <w:t xml:space="preserve">Таблица 1 — Термины и обозначения</w:t>
      </w:r>
    </w:p>
    <w:tbl>
      <w:tblPr>
        <w:tblW w:type="pct" w:w="100%"/>
        <w:tblBorders>
          <w:top w:val="single" w:color="2A7A65" w:sz="6"/>
          <w:left w:val="none" w:color="FFFFFF" w:sz="0"/>
          <w:bottom w:val="single" w:color="2A7A65" w:sz="6"/>
          <w:right w:val="none" w:color="FFFFFF" w:sz="0"/>
          <w:insideH w:val="single" w:color="C5D8D0" w:sz="2"/>
          <w:insideV w:val="single" w:color="C5D8D0" w:sz="2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2A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Термин</w:t>
            </w:r>
          </w:p>
        </w:tc>
        <w:tc>
          <w:tcPr>
            <w:tcW w:type="pct" w:w="70%"/>
            <w:shd w:fill="2A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Определение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Ветровал</w:t>
            </w:r>
          </w:p>
        </w:tc>
        <w:tc>
          <w:tcPr>
            <w:tcW w:type="pct" w:w="7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Групповое повреждение древостоя ветром: вывалы и сломы с потерей сомкнутости крон; объект картирования</w:t>
            </w:r>
          </w:p>
        </w:tc>
      </w:tr>
      <w:tr>
        <w:trPr>
          <w:cantSplit/>
        </w:trPr>
        <w:tc>
          <w:tcPr>
            <w:tcW w:type="pct" w:w="30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IW GRD</w:t>
            </w:r>
          </w:p>
        </w:tc>
        <w:tc>
          <w:tcPr>
            <w:tcW w:type="pct" w:w="70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Режим съёмки Interferometric Wide swath и продукт Ground Range Detected высокого разрешения Sentinel-1, шаг пикселей 10 м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γ0_RTC</w:t>
            </w:r>
          </w:p>
        </w:tc>
        <w:tc>
          <w:tcPr>
            <w:tcW w:type="pct" w:w="7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Коэффициент обратного рассеяния в единицах гамма-ноль после радиометрического выравнивания рельефа (RTC)</w:t>
            </w:r>
          </w:p>
        </w:tc>
      </w:tr>
      <w:tr>
        <w:trPr>
          <w:cantSplit/>
        </w:trPr>
        <w:tc>
          <w:tcPr>
            <w:tcW w:type="pct" w:w="30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ASC / DESC</w:t>
            </w:r>
          </w:p>
        </w:tc>
        <w:tc>
          <w:tcPr>
            <w:tcW w:type="pct" w:w="70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Восходящая и нисходящая орбитальные витки съёмки; в композит включаются оба направления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Композит t1 / t2</w:t>
            </w:r>
          </w:p>
        </w:tc>
        <w:tc>
          <w:tcPr>
            <w:tcW w:type="pct" w:w="7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Многосценовое среднее изображение до шторма (t1) и после шторма (t2) по каждой поляризации</w:t>
            </w:r>
          </w:p>
        </w:tc>
      </w:tr>
      <w:tr>
        <w:trPr>
          <w:cantSplit/>
        </w:trPr>
        <w:tc>
          <w:tcPr>
            <w:tcW w:type="pct" w:w="30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WI</w:t>
            </w:r>
          </w:p>
        </w:tc>
        <w:tc>
          <w:tcPr>
            <w:tcW w:type="pct" w:w="70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Индекс ветровала (Windthrow Index) — сумма разностей композитов VV и VH, в децибелах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Маска леса</w:t>
            </w:r>
          </w:p>
        </w:tc>
        <w:tc>
          <w:tcPr>
            <w:tcW w:type="pct" w:w="7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Растровая маска лесопокрытых площадей; вне неё детектирование не выполняется</w:t>
            </w:r>
          </w:p>
        </w:tc>
      </w:tr>
      <w:tr>
        <w:trPr>
          <w:cantSplit/>
        </w:trPr>
        <w:tc>
          <w:tcPr>
            <w:tcW w:type="pct" w:w="30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ЛМУ</w:t>
            </w:r>
          </w:p>
        </w:tc>
        <w:tc>
          <w:tcPr>
            <w:tcW w:type="pct" w:w="70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Линейная минимальная единица картирования — минимальная площадь контура ветровала, по умолчанию 0,5 га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gpt</w:t>
            </w:r>
          </w:p>
        </w:tc>
        <w:tc>
          <w:tcPr>
            <w:tcW w:type="pct" w:w="7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Пакетный интерпретатор SNAP, исполняющий XML-графы операторов без графического интерфейса</w:t>
            </w:r>
          </w:p>
        </w:tc>
      </w:tr>
    </w:tbl>
    <w:p>
      <w:pPr>
        <w:spacing w:after="12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Далее по тексту поляризации обозначаются VV и VH, даты — в формате ISO 8601, значения интенсивности — в децибелах относительно линейных коэффициентов рассеяния. Под сценой понимается один GRD-продукт одного витка над рабочей областью.</w:t>
      </w:r>
    </w:p>
    <w:p>
      <w:pPr>
        <w:pStyle w:val="Heading1"/>
        <w:spacing w:after="160" w:before="360" w:line="312"/>
      </w:pPr>
      <w:bookmarkStart w:id="100004" w:name="_Toc100004"/>
      <w:r>
        <w:rPr>
          <w:rFonts w:ascii="Arial" w:eastAsia="SimHei"/>
          <w:b/>
          <w:bCs/>
          <w:color w:val="1A4A3C"/>
          <w:sz w:val="32"/>
          <w:szCs w:val="32"/>
        </w:rPr>
        <w:t xml:space="preserve">2. Общая схема воркфлоу</w:t>
      </w:r>
      <w:bookmarkEnd w:id="100004"/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Воркфлоу разбит на шесть последовательных этапов с нумерацией от 0 до 5. Этапы 0 и 1 обеспечивают получение и приведение данных к сопоставимому виду; этапы 2–4 образуют собственно детектирование; этап 5 формирует выходные продукты и отчётность. Такое разбиение соответствует принципу «одна ответственность на этап» и позволяет заменить или доработать любой этап без перестройки остальных, что важно при интеграции с уже существующим плагином загрузки и предобработки.</w:t>
      </w:r>
    </w:p>
    <w:p>
      <w:pPr>
        <w:keepNext/>
        <w:spacing w:after="100" w:before="160" w:line="312"/>
        <w:jc w:val="left"/>
      </w:pPr>
      <w:r>
        <w:rPr>
          <w:rFonts w:ascii="Arial" w:eastAsia="SimHei"/>
          <w:b/>
          <w:bCs/>
          <w:color w:val="1A4A3C"/>
          <w:sz w:val="21"/>
          <w:szCs w:val="21"/>
        </w:rPr>
        <w:t xml:space="preserve">Таблица 2 — Этапы воркфлоу</w:t>
      </w:r>
    </w:p>
    <w:tbl>
      <w:tblPr>
        <w:tblW w:type="pct" w:w="100%"/>
        <w:tblBorders>
          <w:top w:val="single" w:color="2A7A65" w:sz="6"/>
          <w:left w:val="none" w:color="FFFFFF" w:sz="0"/>
          <w:bottom w:val="single" w:color="2A7A65" w:sz="6"/>
          <w:right w:val="none" w:color="FFFFFF" w:sz="0"/>
          <w:insideH w:val="single" w:color="C5D8D0" w:sz="2"/>
          <w:insideV w:val="single" w:color="C5D8D0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2A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18"/>
                <w:szCs w:val="18"/>
              </w:rPr>
              <w:t xml:space="preserve">Этап</w:t>
            </w:r>
          </w:p>
        </w:tc>
        <w:tc>
          <w:tcPr>
            <w:tcW w:type="pct" w:w="20%"/>
            <w:shd w:fill="2A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18"/>
                <w:szCs w:val="18"/>
              </w:rPr>
              <w:t xml:space="preserve">Вход</w:t>
            </w:r>
          </w:p>
        </w:tc>
        <w:tc>
          <w:tcPr>
            <w:tcW w:type="pct" w:w="30%"/>
            <w:shd w:fill="2A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18"/>
                <w:szCs w:val="18"/>
              </w:rPr>
              <w:t xml:space="preserve">Операция</w:t>
            </w:r>
          </w:p>
        </w:tc>
        <w:tc>
          <w:tcPr>
            <w:tcW w:type="pct" w:w="18%"/>
            <w:shd w:fill="2A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18"/>
                <w:szCs w:val="18"/>
              </w:rPr>
              <w:t xml:space="preserve">Выход</w:t>
            </w:r>
          </w:p>
        </w:tc>
        <w:tc>
          <w:tcPr>
            <w:tcW w:type="pct" w:w="16%"/>
            <w:shd w:fill="2A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18"/>
                <w:szCs w:val="18"/>
              </w:rPr>
              <w:t xml:space="preserve">Инструмент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 Загрузка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AOI, дата бури, окна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Поиск и загрузка сцен S1 IW GRD, VV+VH</w:t>
            </w:r>
          </w:p>
        </w:tc>
        <w:tc>
          <w:tcPr>
            <w:tcW w:type="pct" w:w="18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Каталог SAFE-пакетов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Существующий плагин</w:t>
            </w:r>
          </w:p>
        </w:tc>
      </w:tr>
      <w:tr>
        <w:trPr>
          <w:cantSplit/>
        </w:trPr>
        <w:tc>
          <w:tcPr>
            <w:tcW w:type="pct" w:w="16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1. Предобработка</w:t>
            </w:r>
          </w:p>
        </w:tc>
        <w:tc>
          <w:tcPr>
            <w:tcW w:type="pct" w:w="20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GRD-сцены</w:t>
            </w:r>
          </w:p>
        </w:tc>
        <w:tc>
          <w:tcPr>
            <w:tcW w:type="pct" w:w="30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Орбиты, подавление шумов, калибровка, γ0_RTC, привязка к сетке 10 м</w:t>
            </w:r>
          </w:p>
        </w:tc>
        <w:tc>
          <w:tcPr>
            <w:tcW w:type="pct" w:w="18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Стек выровненных сцен, дБ</w:t>
            </w:r>
          </w:p>
        </w:tc>
        <w:tc>
          <w:tcPr>
            <w:tcW w:type="pct" w:w="16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SNAP gpt (существующий модуль)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2. Композиты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Стек сцен t1 и t2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Среднее по окнам до/после шторма</w:t>
            </w:r>
          </w:p>
        </w:tc>
        <w:tc>
          <w:tcPr>
            <w:tcW w:type="pct" w:w="18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Композиты γ0 (VV, VH)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QGIS Processing / numpy</w:t>
            </w:r>
          </w:p>
        </w:tc>
      </w:tr>
      <w:tr>
        <w:trPr>
          <w:cantSplit/>
        </w:trPr>
        <w:tc>
          <w:tcPr>
            <w:tcW w:type="pct" w:w="16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3. Детектирование</w:t>
            </w:r>
          </w:p>
        </w:tc>
        <w:tc>
          <w:tcPr>
            <w:tcW w:type="pct" w:w="20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Композиты, маска леса</w:t>
            </w:r>
          </w:p>
        </w:tc>
        <w:tc>
          <w:tcPr>
            <w:tcW w:type="pct" w:w="30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Разности, WI, порог среднее + a, флаги пикселей</w:t>
            </w:r>
          </w:p>
        </w:tc>
        <w:tc>
          <w:tcPr>
            <w:tcW w:type="pct" w:w="18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Растр WI и флагов</w:t>
            </w:r>
          </w:p>
        </w:tc>
        <w:tc>
          <w:tcPr>
            <w:tcW w:type="pct" w:w="16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QGIS Processing / numpy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4. Векторизация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Растр флагов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Связные объекты, фильтр n и ЛМУ, полигоны с атрибутами</w:t>
            </w:r>
          </w:p>
        </w:tc>
        <w:tc>
          <w:tcPr>
            <w:tcW w:type="pct" w:w="18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Слой контуров GPKG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GDAL / Processing</w:t>
            </w:r>
          </w:p>
        </w:tc>
      </w:tr>
      <w:tr>
        <w:trPr>
          <w:cantSplit/>
        </w:trPr>
        <w:tc>
          <w:tcPr>
            <w:tcW w:type="pct" w:w="16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5. Отчёт</w:t>
            </w:r>
          </w:p>
        </w:tc>
        <w:tc>
          <w:tcPr>
            <w:tcW w:type="pct" w:w="20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Все продукты</w:t>
            </w:r>
          </w:p>
        </w:tc>
        <w:tc>
          <w:tcPr>
            <w:tcW w:type="pct" w:w="30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Метрики, предупреждения, экспорт, экспресс-проверка</w:t>
            </w:r>
          </w:p>
        </w:tc>
        <w:tc>
          <w:tcPr>
            <w:tcW w:type="pct" w:w="18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Отчёт QC, слои QGIS</w:t>
            </w:r>
          </w:p>
        </w:tc>
        <w:tc>
          <w:tcPr>
            <w:tcW w:type="pct" w:w="16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QGIS Layout, Python</w:t>
            </w:r>
          </w:p>
        </w:tc>
      </w:tr>
    </w:tbl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Сквозной поток данных устроен так. На этапе 0 существующий плагин по имени области интереса, дате шторма и заданным окнам получает список сцен IW GRD с поляризациями VV и VH обоих направлений съёмки. Этап 1 приводит каждую сцену к радиометрически и геометрически сопоставимому виду; результат — стек сцен в единой сетке 10 м, выраженный в децибелах. На этапе 2 сцены группируются по окнам t1 и t2 и усредняются в композиты, снижающие спекл-шум; этап 3 вычисляет разности композитов, индекс WI и пороговое решение в пределах маски леса. Этап 4 превращает растровые флаги в векторные контуры с фильтрацией по числу пикселей и минимальной площади, а этап 5 рассчитывает статистику, формирует отчёт контроля качества и передаёт слои пользователю.</w:t>
      </w:r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Форматы данных на стыках этапов фиксированы: между этапами 1 и 2 — GeoTIFF с полосами VV и VH в децибелах либо каталог BEAM-DIMAP, если стек остаётся во внутреннем формате SNAP; между этапами 4 и 5 — GeoPackage. Такой выбор гарантирует читаемость промежуточных результатов в QGIS без конвертаций и упрощает отладку каждого этапа в отдельности.</w:t>
      </w:r>
    </w:p>
    <w:p>
      <w:pPr>
        <w:pStyle w:val="Heading1"/>
        <w:spacing w:after="160" w:before="360" w:line="312"/>
      </w:pPr>
      <w:bookmarkStart w:id="100005" w:name="_Toc100005"/>
      <w:r>
        <w:rPr>
          <w:rFonts w:ascii="Arial" w:eastAsia="SimHei"/>
          <w:b/>
          <w:bCs/>
          <w:color w:val="1A4A3C"/>
          <w:sz w:val="32"/>
          <w:szCs w:val="32"/>
        </w:rPr>
        <w:t xml:space="preserve">3. Временной диапазон данных</w:t>
      </w:r>
      <w:bookmarkEnd w:id="100005"/>
    </w:p>
    <w:p>
      <w:pPr>
        <w:pStyle w:val="Heading2"/>
        <w:spacing w:after="120" w:before="240" w:line="312"/>
      </w:pPr>
      <w:bookmarkStart w:id="100006" w:name="_Toc100006"/>
      <w:r>
        <w:rPr>
          <w:rFonts w:ascii="Arial" w:eastAsia="SimHei"/>
          <w:b/>
          <w:bCs/>
          <w:color w:val="1A4A3C"/>
          <w:sz w:val="28"/>
          <w:szCs w:val="28"/>
        </w:rPr>
        <w:t xml:space="preserve">3.1. Окна съёмки в режиме пост-штормового картирования</w:t>
      </w:r>
      <w:bookmarkEnd w:id="100006"/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В режиме картирования конкретного штормового события воркфлоу использует два временных окна относительно даты бури t0. Эталонная конфигурация метода такова: на швейцарском участке в окно до бури вошло пять сцен за шесть недель, в окно после бури — десять сцен за четыре недели; на немецком участке окна сжимались до десяти и двадцати двух дней при большей частоте съёмки. Ограничение пост-штормового окна четырьмя неделями имеет содержательное обоснование: с ростом задержки в лесу начинаются санитарные рубки и вывоз древесины, которые сами меняют сигнал и «загрязняют» обнаружение, а параллельно увеличивается вероятность получить свободную от облаков оптическую съёмку, превосходящую радарную по детализации. Целевая задержка выпуска первой карты — около двух недель от события.</w:t>
      </w:r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В оба окна включаются сцены обоих направлений съёмки — восходящих и нисходящих витков. Объединение направлений удваивает плотность доступных дат и, после радиометрического выравнивания рельефа, обеспечивает сопоставимость данных на равнине и в слаборасчленённом рельефе. Первая сцена окна t2 — первый виток после t0; ожидание «чистого» интервала не требуется, поскольку сам рост обратного рассеяния и является сигнатурой повреждения.</w:t>
      </w:r>
    </w:p>
    <w:p>
      <w:pPr>
        <w:keepNext/>
        <w:spacing w:after="100" w:before="160" w:line="312"/>
        <w:jc w:val="left"/>
      </w:pPr>
      <w:r>
        <w:rPr>
          <w:rFonts w:ascii="Arial" w:eastAsia="SimHei"/>
          <w:b/>
          <w:bCs/>
          <w:color w:val="1A4A3C"/>
          <w:sz w:val="21"/>
          <w:szCs w:val="21"/>
        </w:rPr>
        <w:t xml:space="preserve">Таблица 3 — Временные параметры режима пост-штормового картирования</w:t>
      </w:r>
    </w:p>
    <w:tbl>
      <w:tblPr>
        <w:tblW w:type="pct" w:w="100%"/>
        <w:tblBorders>
          <w:top w:val="single" w:color="2A7A65" w:sz="6"/>
          <w:left w:val="none" w:color="FFFFFF" w:sz="0"/>
          <w:bottom w:val="single" w:color="2A7A65" w:sz="6"/>
          <w:right w:val="none" w:color="FFFFFF" w:sz="0"/>
          <w:insideH w:val="single" w:color="C5D8D0" w:sz="2"/>
          <w:insideV w:val="single" w:color="C5D8D0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2A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pct" w:w="20%"/>
            <w:shd w:fill="2A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18"/>
                <w:szCs w:val="18"/>
              </w:rPr>
              <w:t xml:space="preserve">По умолчанию</w:t>
            </w:r>
          </w:p>
        </w:tc>
        <w:tc>
          <w:tcPr>
            <w:tcW w:type="pct" w:w="20%"/>
            <w:shd w:fill="2A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18"/>
                <w:szCs w:val="18"/>
              </w:rPr>
              <w:t xml:space="preserve">Допустимо</w:t>
            </w:r>
          </w:p>
        </w:tc>
        <w:tc>
          <w:tcPr>
            <w:tcW w:type="pct" w:w="34%"/>
            <w:shd w:fill="2A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18"/>
                <w:szCs w:val="18"/>
              </w:rPr>
              <w:t xml:space="preserve">Обоснование</w:t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Дата бури t0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Ввод оператора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pct" w:w="34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Из метеосводок или протокола лесничества; определяет все окна</w:t>
            </w:r>
          </w:p>
        </w:tc>
      </w:tr>
      <w:tr>
        <w:trPr>
          <w:cantSplit/>
        </w:trPr>
        <w:tc>
          <w:tcPr>
            <w:tcW w:type="pct" w:w="26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Окно t1 (до бури)</w:t>
            </w:r>
          </w:p>
        </w:tc>
        <w:tc>
          <w:tcPr>
            <w:tcW w:type="pct" w:w="20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42 дня</w:t>
            </w:r>
          </w:p>
        </w:tc>
        <w:tc>
          <w:tcPr>
            <w:tcW w:type="pct" w:w="20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14–90 дней</w:t>
            </w:r>
          </w:p>
        </w:tc>
        <w:tc>
          <w:tcPr>
            <w:tcW w:type="pct" w:w="34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Эталон: 5 сцен за ~6 недель; при дефиците сцен окно расширяется</w:t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Минимум сцен t1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3 и более</w:t>
            </w:r>
          </w:p>
        </w:tc>
        <w:tc>
          <w:tcPr>
            <w:tcW w:type="pct" w:w="34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Устойчивость композита к спеклу и погодной изменчивости</w:t>
            </w:r>
          </w:p>
        </w:tc>
      </w:tr>
      <w:tr>
        <w:trPr>
          <w:cantSplit/>
        </w:trPr>
        <w:tc>
          <w:tcPr>
            <w:tcW w:type="pct" w:w="26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Окно t2 (после бури)</w:t>
            </w:r>
          </w:p>
        </w:tc>
        <w:tc>
          <w:tcPr>
            <w:tcW w:type="pct" w:w="20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28 дней</w:t>
            </w:r>
          </w:p>
        </w:tc>
        <w:tc>
          <w:tcPr>
            <w:tcW w:type="pct" w:w="20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10–30 дней</w:t>
            </w:r>
          </w:p>
        </w:tc>
        <w:tc>
          <w:tcPr>
            <w:tcW w:type="pct" w:w="34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Дольше 4 недель — рубки очистки искажают сигнал</w:t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Минимум сцен t2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1–10</w:t>
            </w:r>
          </w:p>
        </w:tc>
        <w:tc>
          <w:tcPr>
            <w:tcW w:type="pct" w:w="34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Первая карта может строиться по 1–2 сценам с пометкой о пониженной надёжности</w:t>
            </w:r>
          </w:p>
        </w:tc>
      </w:tr>
      <w:tr>
        <w:trPr>
          <w:cantSplit/>
        </w:trPr>
        <w:tc>
          <w:tcPr>
            <w:tcW w:type="pct" w:w="26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Направления съёмки</w:t>
            </w:r>
          </w:p>
        </w:tc>
        <w:tc>
          <w:tcPr>
            <w:tcW w:type="pct" w:w="20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ASC + DESC</w:t>
            </w:r>
          </w:p>
        </w:tc>
        <w:tc>
          <w:tcPr>
            <w:tcW w:type="pct" w:w="20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Одно</w:t>
            </w:r>
          </w:p>
        </w:tc>
        <w:tc>
          <w:tcPr>
            <w:tcW w:type="pct" w:w="34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Объединение удваивает плотность дат</w:t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Старт окна t2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t0 + 1 день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pct" w:w="34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Первая сцена после события; интервал ожидания не нужен</w:t>
            </w:r>
          </w:p>
        </w:tc>
      </w:tr>
      <w:tr>
        <w:trPr>
          <w:cantSplit/>
        </w:trPr>
        <w:tc>
          <w:tcPr>
            <w:tcW w:type="pct" w:w="26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Целевая задержка карты</w:t>
            </w:r>
          </w:p>
        </w:tc>
        <w:tc>
          <w:tcPr>
            <w:tcW w:type="pct" w:w="20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14 дней</w:t>
            </w:r>
          </w:p>
        </w:tc>
        <w:tc>
          <w:tcPr>
            <w:tcW w:type="pct" w:w="20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до 30</w:t>
            </w:r>
          </w:p>
        </w:tc>
        <w:tc>
          <w:tcPr>
            <w:tcW w:type="pct" w:w="34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Требование оперативности лесоуправления</w:t>
            </w:r>
          </w:p>
        </w:tc>
      </w:tr>
    </w:tbl>
    <w:p>
      <w:pPr>
        <w:pStyle w:val="Heading2"/>
        <w:spacing w:after="120" w:before="240" w:line="312"/>
      </w:pPr>
      <w:bookmarkStart w:id="100007" w:name="_Toc100007"/>
      <w:r>
        <w:rPr>
          <w:rFonts w:ascii="Arial" w:eastAsia="SimHei"/>
          <w:b/>
          <w:bCs/>
          <w:color w:val="1A4A3C"/>
          <w:sz w:val="28"/>
          <w:szCs w:val="28"/>
        </w:rPr>
        <w:t xml:space="preserve">3.2. Сезонные ограничения бореальной зоны</w:t>
      </w:r>
      <w:bookmarkEnd w:id="100007"/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Ключевое ограничение для применения метода в России и Скандинавии — сезонная недопустимость смешивания съёмок по снежному и бесснежному периоду. Снежный покров добавляет объёмное рассеяние, а промёрзшая почва резко снижает диэлектрическую проницаемость поверхности, поэтому гамма-ноль зимних сцен смещён относительно летних не из-за повреждения леса, а из-за состояния подстилающей поверхности. Композит t1 из летних сцен против композита t2 из зимних генерирует систематические ложные срабатывания на всей площади леса, что полностью обесценивает карту.</w:t>
      </w:r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Правило спецификации: все сцены обоих окон должны принадлежать одному вегетационному сезону. Для средней полосы Европейской России опорное окно — с начала мая по середину октября; для северной тайги оно сокращается до конца мая — начала сентября, для южных районов лесной зоны расширяется. Штормовые события конца осени и зимы обрабатываются в отложенном режиме: картирование запускается по приходу устойчивого бесснежного периода, а плагин обязан предупреждать оператора о сезонном несоответствии, если окна всё же захватывают даты со снегом. Для летних шквалов и даунбёрст-событий, доминирующих в России, ограничение не создаёт практических проблем — события и окно t2 попадают внутрь вегетационного сезона.</w:t>
      </w:r>
    </w:p>
    <w:p>
      <w:pPr>
        <w:pStyle w:val="Heading2"/>
        <w:spacing w:after="120" w:before="240" w:line="312"/>
      </w:pPr>
      <w:bookmarkStart w:id="100008" w:name="_Toc100008"/>
      <w:r>
        <w:rPr>
          <w:rFonts w:ascii="Arial" w:eastAsia="SimHei"/>
          <w:b/>
          <w:bCs/>
          <w:color w:val="1A4A3C"/>
          <w:sz w:val="28"/>
          <w:szCs w:val="28"/>
        </w:rPr>
        <w:t xml:space="preserve">3.3. Режим мониторинга без заданной даты бури</w:t>
      </w:r>
      <w:bookmarkEnd w:id="100008"/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Помимо событийного режима спецификация предусматривает режим фонового мониторинга, когда дата бури заранее неизвестна. В этом режиме плагин поддерживает скользящий базовый композит t1 из сцен последних шести–восьми недель вегетационного периода и по каждому новому витку вычисляет разностное изображение относительно базы. Пока отклонения внутри шума, база периодически сдвигается вперёд; при появлении связной группы пикселей с ростом выше порога модуль фиксирует гипотетическую дату t0 по дате первой аномальной сцены, переводит участок в событийный режим и доформировывает окно t2 по мере поступления сцен. Именно так устроены действующие системы SAR-алертов: Reiche (2021) для бассейна Конго и pan-European система van der Woude (2026), где алертом служит уже единственная новая сцена, а последующие наблюдения уточняют класс события.</w:t>
      </w:r>
    </w:p>
    <w:p>
      <w:pPr>
        <w:pStyle w:val="Heading2"/>
        <w:spacing w:after="120" w:before="240" w:line="312"/>
      </w:pPr>
      <w:bookmarkStart w:id="100009" w:name="_Toc100009"/>
      <w:r>
        <w:rPr>
          <w:rFonts w:ascii="Arial" w:eastAsia="SimHei"/>
          <w:b/>
          <w:bCs/>
          <w:color w:val="1A4A3C"/>
          <w:sz w:val="28"/>
          <w:szCs w:val="28"/>
        </w:rPr>
        <w:t xml:space="preserve">3.4. Частота съёмки и доступ к данным</w:t>
      </w:r>
      <w:bookmarkEnd w:id="100009"/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Реалистичная плотность данных определяется состоянием миссии. Одиночный Sentinel-1A даёт повторение 12 дней на орбитальный путь; с вводом в эксплуатацию Sentinel-1C с 2025 года номинальный интервал возвращён к 6 дням, а наличие обоих направлений съёмки удваивает практическую плотность дат до 3–6 дней на территорию. Для тестовых участков в России это означает 10–20 сцен в окне t2 продолжительностью месяц, что перекрывает эталонные потребности метода с запасом.</w:t>
      </w:r>
    </w:p>
    <w:p>
      <w:pPr>
        <w:spacing w:after="12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Источником данных служит портал Copernicus Data Space Ecosystem; резервным зеркалом — распределительный архив Аляскинского центра данных (ASF) проекта NASA Earthdata, доступный без географических ограничений. Поиск, авторизация и выгрузка на этапе 0 уже реализованы существующим плагином, поэтому спецификация не требует изменений в этой части, кроме передачи в модуль загрузки вычисленных окон t1 и t2.</w:t>
      </w:r>
    </w:p>
    <w:p>
      <w:pPr>
        <w:pStyle w:val="Heading1"/>
        <w:spacing w:after="160" w:before="360" w:line="312"/>
      </w:pPr>
      <w:bookmarkStart w:id="100010" w:name="_Toc100010"/>
      <w:r>
        <w:rPr>
          <w:rFonts w:ascii="Arial" w:eastAsia="SimHei"/>
          <w:b/>
          <w:bCs/>
          <w:color w:val="1A4A3C"/>
          <w:sz w:val="32"/>
          <w:szCs w:val="32"/>
        </w:rPr>
        <w:t xml:space="preserve">4. Этапы предобработки</w:t>
      </w:r>
      <w:bookmarkEnd w:id="100010"/>
    </w:p>
    <w:p>
      <w:pPr>
        <w:pStyle w:val="Heading2"/>
        <w:spacing w:after="120" w:before="240" w:line="312"/>
      </w:pPr>
      <w:bookmarkStart w:id="100011" w:name="_Toc100011"/>
      <w:r>
        <w:rPr>
          <w:rFonts w:ascii="Arial" w:eastAsia="SimHei"/>
          <w:b/>
          <w:bCs/>
          <w:color w:val="1A4A3C"/>
          <w:sz w:val="28"/>
          <w:szCs w:val="28"/>
        </w:rPr>
        <w:t xml:space="preserve">4.1. Обязательная цепочка операторов для GRD</w:t>
      </w:r>
      <w:bookmarkEnd w:id="100011"/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Каждая загруженная сцена IW GRD проходит фиксированную цепочку операторов. Её состав повторяет стандартную обработку Sentinel-1 в среде SNAP и полностью реализуем пакетно через gpt без графического интерфейса. Порядок операторов существенен: коррекция орбиты должна предшествовать всему остальному, а радиометрическое выравнивание рельефа выполняется над калиброванным бета-ноль до геометрической привязки к карте.</w:t>
      </w:r>
    </w:p>
    <w:p>
      <w:pPr>
        <w:keepNext/>
        <w:spacing w:after="100" w:before="160" w:line="312"/>
        <w:jc w:val="left"/>
      </w:pPr>
      <w:r>
        <w:rPr>
          <w:rFonts w:ascii="Arial" w:eastAsia="SimHei"/>
          <w:b/>
          <w:bCs/>
          <w:color w:val="1A4A3C"/>
          <w:sz w:val="21"/>
          <w:szCs w:val="21"/>
        </w:rPr>
        <w:t xml:space="preserve">Таблица 4 — Цепочка предобработки GRD-продукта</w:t>
      </w:r>
    </w:p>
    <w:tbl>
      <w:tblPr>
        <w:tblW w:type="pct" w:w="100%"/>
        <w:tblBorders>
          <w:top w:val="single" w:color="2A7A65" w:sz="6"/>
          <w:left w:val="none" w:color="FFFFFF" w:sz="0"/>
          <w:bottom w:val="single" w:color="2A7A65" w:sz="6"/>
          <w:right w:val="none" w:color="FFFFFF" w:sz="0"/>
          <w:insideH w:val="single" w:color="C5D8D0" w:sz="2"/>
          <w:insideV w:val="single" w:color="C5D8D0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7%"/>
            <w:shd w:fill="2A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14"/>
                <w:szCs w:val="14"/>
              </w:rPr>
              <w:t xml:space="preserve">№</w:t>
            </w:r>
          </w:p>
        </w:tc>
        <w:tc>
          <w:tcPr>
            <w:tcW w:type="pct" w:w="27%"/>
            <w:shd w:fill="2A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14"/>
                <w:szCs w:val="14"/>
              </w:rPr>
              <w:t xml:space="preserve">Оператор SNAP</w:t>
            </w:r>
          </w:p>
        </w:tc>
        <w:tc>
          <w:tcPr>
            <w:tcW w:type="pct" w:w="36%"/>
            <w:shd w:fill="2A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14"/>
                <w:szCs w:val="14"/>
              </w:rPr>
              <w:t xml:space="preserve">Назначение</w:t>
            </w:r>
          </w:p>
        </w:tc>
        <w:tc>
          <w:tcPr>
            <w:tcW w:type="pct" w:w="30%"/>
            <w:shd w:fill="2A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14"/>
                <w:szCs w:val="14"/>
              </w:rPr>
              <w:t xml:space="preserve">Ключевые параметры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pct" w:w="27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4"/>
                <w:szCs w:val="14"/>
              </w:rPr>
              <w:t xml:space="preserve">Apply-Orbit-File</w:t>
            </w:r>
          </w:p>
        </w:tc>
        <w:tc>
          <w:tcPr>
            <w:tcW w:type="pct" w:w="36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4"/>
                <w:szCs w:val="14"/>
              </w:rPr>
              <w:t xml:space="preserve">Уточнение траектории для геолокации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4"/>
                <w:szCs w:val="14"/>
              </w:rPr>
              <w:t xml:space="preserve">Precise (POD); Restituted — для оперативного режима до выхода точных</w:t>
            </w:r>
          </w:p>
        </w:tc>
      </w:tr>
      <w:tr>
        <w:trPr>
          <w:cantSplit/>
        </w:trPr>
        <w:tc>
          <w:tcPr>
            <w:tcW w:type="pct" w:w="7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pct" w:w="27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4"/>
                <w:szCs w:val="14"/>
              </w:rPr>
              <w:t xml:space="preserve">Remove-GRD-Border-Noise</w:t>
            </w:r>
          </w:p>
        </w:tc>
        <w:tc>
          <w:tcPr>
            <w:tcW w:type="pct" w:w="36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4"/>
                <w:szCs w:val="14"/>
              </w:rPr>
              <w:t xml:space="preserve">Устранение артефактов краёв кадра</w:t>
            </w:r>
          </w:p>
        </w:tc>
        <w:tc>
          <w:tcPr>
            <w:tcW w:type="pct" w:w="30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4"/>
                <w:szCs w:val="14"/>
              </w:rPr>
              <w:t xml:space="preserve">Обязателен для продуктов старого IPF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pct" w:w="27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4"/>
                <w:szCs w:val="14"/>
              </w:rPr>
              <w:t xml:space="preserve">ThermalNoiseRemoval</w:t>
            </w:r>
          </w:p>
        </w:tc>
        <w:tc>
          <w:tcPr>
            <w:tcW w:type="pct" w:w="36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4"/>
                <w:szCs w:val="14"/>
              </w:rPr>
              <w:t xml:space="preserve">Подавление теплового шума, критично для VH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4"/>
                <w:szCs w:val="14"/>
              </w:rPr>
              <w:t xml:space="preserve">Для продуктов IPF ≥ 3.40 (2022) шум подавлен на производстве — контролировать аннотации</w:t>
            </w:r>
          </w:p>
        </w:tc>
      </w:tr>
      <w:tr>
        <w:trPr>
          <w:cantSplit/>
        </w:trPr>
        <w:tc>
          <w:tcPr>
            <w:tcW w:type="pct" w:w="7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pct" w:w="27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4"/>
                <w:szCs w:val="14"/>
              </w:rPr>
              <w:t xml:space="preserve">Calibration</w:t>
            </w:r>
          </w:p>
        </w:tc>
        <w:tc>
          <w:tcPr>
            <w:tcW w:type="pct" w:w="36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4"/>
                <w:szCs w:val="14"/>
              </w:rPr>
              <w:t xml:space="preserve">Радиометрическая калибровка</w:t>
            </w:r>
          </w:p>
        </w:tc>
        <w:tc>
          <w:tcPr>
            <w:tcW w:type="pct" w:w="30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4"/>
                <w:szCs w:val="14"/>
              </w:rPr>
              <w:t xml:space="preserve">Выход — бета-ноль (вход для выравнивания)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pct" w:w="27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4"/>
                <w:szCs w:val="14"/>
              </w:rPr>
              <w:t xml:space="preserve">Terrain-Flattening</w:t>
            </w:r>
          </w:p>
        </w:tc>
        <w:tc>
          <w:tcPr>
            <w:tcW w:type="pct" w:w="36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4"/>
                <w:szCs w:val="14"/>
              </w:rPr>
              <w:t xml:space="preserve">Радиометрическое выравнивание рельефа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4"/>
                <w:szCs w:val="14"/>
              </w:rPr>
              <w:t xml:space="preserve">ЦМР; выход — гамма-ноль RTC</w:t>
            </w:r>
          </w:p>
        </w:tc>
      </w:tr>
      <w:tr>
        <w:trPr>
          <w:cantSplit/>
        </w:trPr>
        <w:tc>
          <w:tcPr>
            <w:tcW w:type="pct" w:w="7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4"/>
                <w:szCs w:val="14"/>
              </w:rPr>
              <w:t xml:space="preserve">6</w:t>
            </w:r>
          </w:p>
        </w:tc>
        <w:tc>
          <w:tcPr>
            <w:tcW w:type="pct" w:w="27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4"/>
                <w:szCs w:val="14"/>
              </w:rPr>
              <w:t xml:space="preserve">Range-Doppler Terrain Correction</w:t>
            </w:r>
          </w:p>
        </w:tc>
        <w:tc>
          <w:tcPr>
            <w:tcW w:type="pct" w:w="36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4"/>
                <w:szCs w:val="14"/>
              </w:rPr>
              <w:t xml:space="preserve">Геокодирование на карту-сетку</w:t>
            </w:r>
          </w:p>
        </w:tc>
        <w:tc>
          <w:tcPr>
            <w:tcW w:type="pct" w:w="30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4"/>
                <w:szCs w:val="14"/>
              </w:rPr>
              <w:t xml:space="preserve">ЦМР, шаг 10 м, проекция UTM/WGS-84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4"/>
                <w:szCs w:val="14"/>
              </w:rPr>
              <w:t xml:space="preserve">7</w:t>
            </w:r>
          </w:p>
        </w:tc>
        <w:tc>
          <w:tcPr>
            <w:tcW w:type="pct" w:w="27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4"/>
                <w:szCs w:val="14"/>
              </w:rPr>
              <w:t xml:space="preserve">LinearToFromdB</w:t>
            </w:r>
          </w:p>
        </w:tc>
        <w:tc>
          <w:tcPr>
            <w:tcW w:type="pct" w:w="36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4"/>
                <w:szCs w:val="14"/>
              </w:rPr>
              <w:t xml:space="preserve">Перевод интенсивности в децибелы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4"/>
                <w:szCs w:val="14"/>
              </w:rPr>
              <w:t xml:space="preserve">10·log10(интенсивность)</w:t>
            </w:r>
          </w:p>
        </w:tc>
      </w:tr>
    </w:tbl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Результирующий стек сцена за сценой содержит две полосы VV и VH в децибелах на единой карте-сетке 10 м. Между сценами разных витков совмещение после range-Doppler-привязки по одной и той же ЦМР укладывается в доли пикселя, отдельная взаимная корегистрация не требуется. Все операторы этапа 1 уже доступны в SNAP и, по состоянию существующего плагина, частично реализованы; в разделе 4.4 перечислены точки контроля, которые необходимо проверить перед переходом к этапу 2.</w:t>
      </w:r>
    </w:p>
    <w:p>
      <w:pPr>
        <w:pStyle w:val="Heading2"/>
        <w:spacing w:after="120" w:before="240" w:line="312"/>
      </w:pPr>
      <w:bookmarkStart w:id="100012" w:name="_Toc100012"/>
      <w:r>
        <w:rPr>
          <w:rFonts w:ascii="Arial" w:eastAsia="SimHei"/>
          <w:b/>
          <w:bCs/>
          <w:color w:val="1A4A3C"/>
          <w:sz w:val="28"/>
          <w:szCs w:val="28"/>
        </w:rPr>
        <w:t xml:space="preserve">4.2. Радиометрическое выравнивание рельефа: почему именно гамма-ноль RTC</w:t>
      </w:r>
      <w:bookmarkEnd w:id="100012"/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Опорная величина метода — коэффициент обратного рассеяния гамма-ноль, нормированный к локальной освещённой площади склона по модели Small (2011), а не к эллипсоидальной плоскости падения. Такое радиометрическое выравнивание убирает систематический вклад рельефа в яркость: склоны разной экспозиции с одинаковой растительностью получают сопоставимые значения, и разности до/после шторма отражают изменение поверхности, а не геометрию съёмки. Без выравнивания различия ракурсов восходящих и нисходящих витков и сам эффект рельефа превышают полезный сигнал повреждения, особенно в предгорьях и на расчленённом рельефе Урала, Карелии и Сибири.</w:t>
      </w:r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На равнинных территориях выигрыш выравнивания менее заметен, но остаётся обязательным по двум причинам. Во-первых, композиты объединяют витки обоих направлений, а сопоставимость направлений достигается именно после RTC. Во-вторых, единообразие обработки делает пороговые значения параметра a переносимыми между участками — в эталонной работе выравнивание применялось на обоих тестовых территориях без исключений.</w:t>
      </w:r>
    </w:p>
    <w:p>
      <w:pPr>
        <w:pStyle w:val="Heading2"/>
        <w:spacing w:after="120" w:before="240" w:line="312"/>
      </w:pPr>
      <w:bookmarkStart w:id="100013" w:name="_Toc100013"/>
      <w:r>
        <w:rPr>
          <w:rFonts w:ascii="Arial" w:eastAsia="SimHei"/>
          <w:b/>
          <w:bCs/>
          <w:color w:val="1A4A3C"/>
          <w:sz w:val="28"/>
          <w:szCs w:val="28"/>
        </w:rPr>
        <w:t xml:space="preserve">4.3. Спекл-шум и роль мультитемпорального композита</w:t>
      </w:r>
      <w:bookmarkEnd w:id="100013"/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Одиночные сцены спекл-фильтрами не обрабатываются. Шум когерентного рассеяния подавляется на этапе 2 усреднением четырёх–пяти сцен в каждом композите, что снижает стандартное отклонение спекла примерно вдвое и одновременно сглаживает случайные погодные вариации отдельных дат. Такой подход соответствует эталонной методике: локально-взвешенное комбинирование LRW собирает композит из всех доступных сцен периода, взвешивая вклад каждой сцены по её локальному разрешению; упрощённой реализацией, достаточной для первой версии плагина, служит простое среднее значений в децибелах либо среднее линейных интенсивностей с последующим переводом в децибелы.</w:t>
      </w:r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Одиночный спекл-фильтр типа Refined Lee остаётся опциональной настройкой для вырожденных случаев с одной–двумя сценами в окне, когда усреднять нечего. При таком дефиците плагин обязан помечать результат пониженной надёжностью в отчёте контроля качества: зависимость точности от числа сцен в пост-штормовом композите показана в эталонной работе напрямую — карта по единственной сцене существенно уступает карте по пяти и более.</w:t>
      </w:r>
    </w:p>
    <w:p>
      <w:pPr>
        <w:pStyle w:val="Heading2"/>
        <w:spacing w:after="120" w:before="240" w:line="312"/>
      </w:pPr>
      <w:bookmarkStart w:id="100014" w:name="_Toc100014"/>
      <w:r>
        <w:rPr>
          <w:rFonts w:ascii="Arial" w:eastAsia="SimHei"/>
          <w:b/>
          <w:bCs/>
          <w:color w:val="1A4A3C"/>
          <w:sz w:val="28"/>
          <w:szCs w:val="28"/>
        </w:rPr>
        <w:t xml:space="preserve">4.4. Цифровая модель рельефа и точки контроля существующего плагина</w:t>
      </w:r>
      <w:bookmarkEnd w:id="100014"/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Для выравнивания и геокодирования используется Copernicus DEM GLO-30 с шагом 30 м как глобально доступная модель. Модель SRTM покрывает территорию лишь до 60° северной широты и для большинства регионов бореальной зоны России непригодна; для арктических участков допустима ArcticDEM. Высотные данные запрашиваются автоматически при первом запуске и кэшируются между сессиями.</w:t>
      </w:r>
    </w:p>
    <w:p>
      <w:pPr>
        <w:spacing w:after="12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Перед переходом к этапу 2 следует удостовериться, что существующий модуль предобработки выдаёт именно гамма-ноль после Terrain-Flattening, а не сигма-ноль простой привязки; что тепловая шумовая коррекция включена для старых продуктов и корректно пропускается для новых по аннотациям; что ЦМР передана обоим операторам и выравнена по сетке; что выходной шаг действительно 10 м. Перечисленные четыре проверки закрывают практически все расхождения между локальными реализациями цепочки и эталонной обработкой.</w:t>
      </w:r>
    </w:p>
    <w:p>
      <w:pPr>
        <w:pStyle w:val="Heading1"/>
        <w:spacing w:after="160" w:before="360" w:line="312"/>
      </w:pPr>
      <w:bookmarkStart w:id="100015" w:name="_Toc100015"/>
      <w:r>
        <w:rPr>
          <w:rFonts w:ascii="Arial" w:eastAsia="SimHei"/>
          <w:b/>
          <w:bCs/>
          <w:color w:val="1A4A3C"/>
          <w:sz w:val="32"/>
          <w:szCs w:val="32"/>
        </w:rPr>
        <w:t xml:space="preserve">5. Детектирование ветровалов</w:t>
      </w:r>
      <w:bookmarkEnd w:id="100015"/>
    </w:p>
    <w:p>
      <w:pPr>
        <w:pStyle w:val="Heading2"/>
        <w:spacing w:after="120" w:before="240" w:line="312"/>
      </w:pPr>
      <w:bookmarkStart w:id="100016" w:name="_Toc100016"/>
      <w:r>
        <w:rPr>
          <w:rFonts w:ascii="Arial" w:eastAsia="SimHei"/>
          <w:b/>
          <w:bCs/>
          <w:color w:val="1A4A3C"/>
          <w:sz w:val="28"/>
          <w:szCs w:val="28"/>
        </w:rPr>
        <w:t xml:space="preserve">5.1. Сигнатура повреждения и индекс WI</w:t>
      </w:r>
      <w:bookmarkEnd w:id="100016"/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Сигнатура ветровала на C-диапазоне — рост обратного рассеяния. После шторма из-под сомкнутого полога обнажаются лежащие стволы, ветви и взрыхлённый грунт: шероховатая разноуровневая поверхность с древесными элементами рассеивает сильнее гладкой кроновой поверхности, и гамма-ноль повреждённого участка возрастает в обеих поляризациях. Это подтверждено полевыми экспериментами со всеми диапазонами (Eriksson, 2012) и напрямую использовано эталонным методом. Направление сигнатуры принципиально: индекс реагирует положительным выбросом, в отличие от оптических разностных индексов, где повреждение проявляется падением значений.</w:t>
      </w:r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Индекс ветровала строится из разностей композитов по каждой поляризации. Обозначив композиты гамма-ноль до и после шторма как t1 и t2, вычисляются разности и их сумма в децибелах:</w:t>
      </w:r>
    </w:p>
    <w:p>
      <w:pPr>
        <w:spacing w:after="100" w:before="100" w:line="312"/>
        <w:jc w:val="center"/>
      </w:pPr>
      <w:r>
        <w:rPr>
          <w:rFonts w:ascii="Times New Roman" w:eastAsia="SimSun"/>
          <w:color w:val="000000"/>
          <w:sz w:val="24"/>
          <w:szCs w:val="24"/>
        </w:rPr>
        <w:t xml:space="preserve">δ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VV</w:t>
      </w:r>
      <w:r>
        <w:rPr>
          <w:rFonts w:ascii="Times New Roman" w:eastAsia="SimSun"/>
          <w:color w:val="000000"/>
          <w:sz w:val="24"/>
          <w:szCs w:val="24"/>
        </w:rPr>
        <w:t xml:space="preserve"> = γ</w:t>
      </w:r>
      <w:r>
        <w:rPr>
          <w:rFonts w:ascii="Times New Roman" w:eastAsia="SimSun"/>
          <w:color w:val="000000"/>
          <w:sz w:val="24"/>
          <w:szCs w:val="24"/>
          <w:vertAlign w:val="superscript"/>
        </w:rPr>
        <w:t xml:space="preserve">0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VV,t2</w:t>
      </w:r>
      <w:r>
        <w:rPr>
          <w:rFonts w:ascii="Times New Roman" w:eastAsia="SimSun"/>
          <w:color w:val="000000"/>
          <w:sz w:val="24"/>
          <w:szCs w:val="24"/>
        </w:rPr>
        <w:t xml:space="preserve"> − γ</w:t>
      </w:r>
      <w:r>
        <w:rPr>
          <w:rFonts w:ascii="Times New Roman" w:eastAsia="SimSun"/>
          <w:color w:val="000000"/>
          <w:sz w:val="24"/>
          <w:szCs w:val="24"/>
          <w:vertAlign w:val="superscript"/>
        </w:rPr>
        <w:t xml:space="preserve">0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VV,t1</w:t>
      </w:r>
      <w:r>
        <w:rPr>
          <w:rFonts w:ascii="Times New Roman" w:eastAsia="SimSun"/>
          <w:color w:val="000000"/>
          <w:sz w:val="24"/>
          <w:szCs w:val="24"/>
        </w:rPr>
        <w:t xml:space="preserve"> ,   δ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VH</w:t>
      </w:r>
      <w:r>
        <w:rPr>
          <w:rFonts w:ascii="Times New Roman" w:eastAsia="SimSun"/>
          <w:color w:val="000000"/>
          <w:sz w:val="24"/>
          <w:szCs w:val="24"/>
        </w:rPr>
        <w:t xml:space="preserve"> = γ</w:t>
      </w:r>
      <w:r>
        <w:rPr>
          <w:rFonts w:ascii="Times New Roman" w:eastAsia="SimSun"/>
          <w:color w:val="000000"/>
          <w:sz w:val="24"/>
          <w:szCs w:val="24"/>
          <w:vertAlign w:val="superscript"/>
        </w:rPr>
        <w:t xml:space="preserve">0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VH,t2</w:t>
      </w:r>
      <w:r>
        <w:rPr>
          <w:rFonts w:ascii="Times New Roman" w:eastAsia="SimSun"/>
          <w:color w:val="000000"/>
          <w:sz w:val="24"/>
          <w:szCs w:val="24"/>
        </w:rPr>
        <w:t xml:space="preserve"> − γ</w:t>
      </w:r>
      <w:r>
        <w:rPr>
          <w:rFonts w:ascii="Times New Roman" w:eastAsia="SimSun"/>
          <w:color w:val="000000"/>
          <w:sz w:val="24"/>
          <w:szCs w:val="24"/>
          <w:vertAlign w:val="superscript"/>
        </w:rPr>
        <w:t xml:space="preserve">0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VH,t1</w:t>
      </w:r>
      <w:r>
        <w:rPr>
          <w:rFonts w:ascii="Times New Roman" w:eastAsia="SimSun"/>
          <w:color w:val="000000"/>
          <w:sz w:val="24"/>
          <w:szCs w:val="24"/>
        </w:rPr>
        <w:t xml:space="preserve"> ,</w:t>
      </w:r>
    </w:p>
    <w:p>
      <w:pPr>
        <w:spacing w:after="100" w:before="100" w:line="312"/>
        <w:jc w:val="center"/>
      </w:pPr>
      <w:r>
        <w:rPr>
          <w:rFonts w:ascii="Times New Roman" w:eastAsia="SimSun"/>
          <w:color w:val="000000"/>
          <w:sz w:val="24"/>
          <w:szCs w:val="24"/>
        </w:rPr>
        <w:t xml:space="preserve">WI = δ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VV</w:t>
      </w:r>
      <w:r>
        <w:rPr>
          <w:rFonts w:ascii="Times New Roman" w:eastAsia="SimSun"/>
          <w:color w:val="000000"/>
          <w:sz w:val="24"/>
          <w:szCs w:val="24"/>
        </w:rPr>
        <w:t xml:space="preserve"> + δ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VH</w:t>
      </w:r>
      <w:r>
        <w:rPr>
          <w:rFonts w:ascii="Times New Roman" w:eastAsia="SimSun"/>
          <w:color w:val="000000"/>
          <w:sz w:val="24"/>
          <w:szCs w:val="24"/>
        </w:rPr>
        <w:t xml:space="preserve">.</w:t>
      </w:r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Равные веса поляризаций выбраны в эталонной работе эмпирически: сумма двух поляризаций устойчивее одиночной, поскольку рост рассеяния проявляется в обеих, а инструментальный и погодный шум частично не скоррелирован. Вычисление выполняется по всем пикселям в пределах маски леса; вне маски значения индекса не рассматриваются.</w:t>
      </w:r>
    </w:p>
    <w:p>
      <w:pPr>
        <w:pStyle w:val="Heading2"/>
        <w:spacing w:after="120" w:before="240" w:line="312"/>
      </w:pPr>
      <w:bookmarkStart w:id="100017" w:name="_Toc100017"/>
      <w:r>
        <w:rPr>
          <w:rFonts w:ascii="Arial" w:eastAsia="SimHei"/>
          <w:b/>
          <w:bCs/>
          <w:color w:val="1A4A3C"/>
          <w:sz w:val="28"/>
          <w:szCs w:val="28"/>
        </w:rPr>
        <w:t xml:space="preserve">5.2. Пороговое решение</w:t>
      </w:r>
      <w:bookmarkEnd w:id="100017"/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Порог назначается адаптивно к текущим условиям съёмки: от среднего значения индекса по всем пикселям маски леса откладывается допуск a, и пиксели с WI выше этой отметки помечаются как потенциальное повреждение:</w:t>
      </w:r>
    </w:p>
    <w:p>
      <w:pPr>
        <w:spacing w:after="100" w:before="100" w:line="312"/>
        <w:jc w:val="center"/>
      </w:pPr>
      <w:r>
        <w:rPr>
          <w:rFonts w:ascii="Times New Roman" w:eastAsia="SimSun"/>
          <w:color w:val="000000"/>
          <w:sz w:val="24"/>
          <w:szCs w:val="24"/>
        </w:rPr>
        <w:t xml:space="preserve">T = x̄(WI | лес) + a ,   a ≈ 3 дБ.</w:t>
      </w:r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Отсчёт от среднего снимает междаточные сдвиги фона, вызванные различием метеоусловий и влажности почв между окнами t1 и t2: эти факторы смещают весь индекс целиком, но не создают пространственно связных выбросов, поэтому среднее по лесу остаётся репрезентативной опорой. Допуск a — главный пользовательский параметр метода. В эталонной работе оптимальное значение составило около 3 дБ при переборе от 2,8 до 3,35 с шагом 0,05 в 108 комбинациях со вторым параметром; занижение a повышает полноту за счёт ложных срабатываний, завышение — наоборот. Сельскохозяйственные поля и луга дают более сильные изменения яркости, чем лес, поэтому порог применяется исключительно внутри маски леса.</w:t>
      </w:r>
    </w:p>
    <w:p>
      <w:pPr>
        <w:pStyle w:val="Heading2"/>
        <w:spacing w:after="120" w:before="240" w:line="312"/>
      </w:pPr>
      <w:bookmarkStart w:id="100018" w:name="_Toc100018"/>
      <w:r>
        <w:rPr>
          <w:rFonts w:ascii="Arial" w:eastAsia="SimHei"/>
          <w:b/>
          <w:bCs/>
          <w:color w:val="1A4A3C"/>
          <w:sz w:val="28"/>
          <w:szCs w:val="28"/>
        </w:rPr>
        <w:t xml:space="preserve">5.3. Объектная фильтрация</w:t>
      </w:r>
      <w:bookmarkEnd w:id="100018"/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Флаговые пиксели группируются в связные объекты (связность по восьми соседям), после чего применяются два последовательных ограничителя. Сначала отбрасываются объекты числом пикселей меньше n: изолированные флаги почти всегда спекл или одиночные артефакты; эталонное значение n равно 25 пикселям, то есть 0,25 га, при тестировании в диапазоне 20–30. Затем к уцелевшим контурам применяется минимальная единица картирования 0,5 га — требование лесоуправления, зафиксированное в эталонной работе совместно с лесничими. Дополнительное морфологическое замыкание контуров остаётся опцией для сглаживания «дырок» внутри крупных очагов.</w:t>
      </w:r>
    </w:p>
    <w:p>
      <w:pPr>
        <w:pStyle w:val="Heading2"/>
        <w:spacing w:after="120" w:before="240" w:line="312"/>
      </w:pPr>
      <w:bookmarkStart w:id="100019" w:name="_Toc100019"/>
      <w:r>
        <w:rPr>
          <w:rFonts w:ascii="Arial" w:eastAsia="SimHei"/>
          <w:b/>
          <w:bCs/>
          <w:color w:val="1A4A3C"/>
          <w:sz w:val="28"/>
          <w:szCs w:val="28"/>
        </w:rPr>
        <w:t xml:space="preserve">5.4. Маска леса и подавление ложных срабатываний</w:t>
      </w:r>
      <w:bookmarkEnd w:id="100019"/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Маска леса — обязательный вход этапа 3. Источником могут служить локальные данные лесоустройства, векторные слои лесничеств либо глобальные продукты: древесное покрытие Hansen от 20 % и выше или маска по высоте растительности более 3 м, как в эталонной работе. Точность маски на границах лес/поле напрямую влияет на чистоту результата, поэтому смешанные опушки рекомендуется расширять внутрь леса на один-два пикселя.</w:t>
      </w:r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Внутри леса основные источники ложных срабатываний — сплошные рубки текущего года, свежие прогалины, затопленные и переувлажнённые понижения, а также ветровалы предыдущих лет, ещё не убранные. Рост рассеяния от обнажённой минеральной поверхности рубки неотличим от ветровала по одиночной разности, поэтому плагин должен поддерживать наложение операторских масок: слои известных рубок, гидрографии и постоянно затопляемых территорий исключаются из результата автоматически, а остаточные сомнительные контуры помечаются атрибутом для визуальной проверки. Вертикальный контекст — то, что ветровал к моменту съёмки не убран и не раскорчёван — учитывается экспресс-проверкой на оптике, описанной в разделе 6.</w:t>
      </w:r>
    </w:p>
    <w:p>
      <w:pPr>
        <w:pStyle w:val="Heading2"/>
        <w:spacing w:after="120" w:before="240" w:line="312"/>
      </w:pPr>
      <w:bookmarkStart w:id="100020" w:name="_Toc100020"/>
      <w:r>
        <w:rPr>
          <w:rFonts w:ascii="Arial" w:eastAsia="SimHei"/>
          <w:b/>
          <w:bCs/>
          <w:color w:val="1A4A3C"/>
          <w:sz w:val="28"/>
          <w:szCs w:val="28"/>
        </w:rPr>
        <w:t xml:space="preserve">5.5. Сводные параметры алгоритма и ожидаемая точность</w:t>
      </w:r>
      <w:bookmarkEnd w:id="100020"/>
    </w:p>
    <w:p>
      <w:pPr>
        <w:keepNext/>
        <w:spacing w:after="100" w:before="160" w:line="312"/>
        <w:jc w:val="left"/>
      </w:pPr>
      <w:r>
        <w:rPr>
          <w:rFonts w:ascii="Arial" w:eastAsia="SimHei"/>
          <w:b/>
          <w:bCs/>
          <w:color w:val="1A4A3C"/>
          <w:sz w:val="21"/>
          <w:szCs w:val="21"/>
        </w:rPr>
        <w:t xml:space="preserve">Таблица 5 — Параметры детектирования</w:t>
      </w:r>
    </w:p>
    <w:tbl>
      <w:tblPr>
        <w:tblW w:type="pct" w:w="100%"/>
        <w:tblBorders>
          <w:top w:val="single" w:color="2A7A65" w:sz="6"/>
          <w:left w:val="none" w:color="FFFFFF" w:sz="0"/>
          <w:bottom w:val="single" w:color="2A7A65" w:sz="6"/>
          <w:right w:val="none" w:color="FFFFFF" w:sz="0"/>
          <w:insideH w:val="single" w:color="C5D8D0" w:sz="2"/>
          <w:insideV w:val="single" w:color="C5D8D0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2A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16"/>
                <w:szCs w:val="16"/>
              </w:rPr>
              <w:t xml:space="preserve">Параметр</w:t>
            </w:r>
          </w:p>
        </w:tc>
        <w:tc>
          <w:tcPr>
            <w:tcW w:type="pct" w:w="18%"/>
            <w:shd w:fill="2A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16"/>
                <w:szCs w:val="16"/>
              </w:rPr>
              <w:t xml:space="preserve">По умолчанию</w:t>
            </w:r>
          </w:p>
        </w:tc>
        <w:tc>
          <w:tcPr>
            <w:tcW w:type="pct" w:w="18%"/>
            <w:shd w:fill="2A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16"/>
                <w:szCs w:val="16"/>
              </w:rPr>
              <w:t xml:space="preserve">Диапазон</w:t>
            </w:r>
          </w:p>
        </w:tc>
        <w:tc>
          <w:tcPr>
            <w:tcW w:type="pct" w:w="36%"/>
            <w:shd w:fill="2A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16"/>
                <w:szCs w:val="16"/>
              </w:rPr>
              <w:t xml:space="preserve">Источник и комментарий</w:t>
            </w:r>
          </w:p>
        </w:tc>
      </w:tr>
      <w:tr>
        <w:trPr>
          <w:cantSplit/>
        </w:trPr>
        <w:tc>
          <w:tcPr>
            <w:tcW w:type="pct" w:w="28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6"/>
                <w:szCs w:val="16"/>
              </w:rPr>
              <w:t xml:space="preserve">Допуск порога a</w:t>
            </w:r>
          </w:p>
        </w:tc>
        <w:tc>
          <w:tcPr>
            <w:tcW w:type="pct" w:w="18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6"/>
                <w:szCs w:val="16"/>
              </w:rPr>
              <w:t xml:space="preserve">3,0 дБ</w:t>
            </w:r>
          </w:p>
        </w:tc>
        <w:tc>
          <w:tcPr>
            <w:tcW w:type="pct" w:w="18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6"/>
                <w:szCs w:val="16"/>
              </w:rPr>
              <w:t xml:space="preserve">2,8–3,35</w:t>
            </w:r>
          </w:p>
        </w:tc>
        <w:tc>
          <w:tcPr>
            <w:tcW w:type="pct" w:w="36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6"/>
                <w:szCs w:val="16"/>
              </w:rPr>
              <w:t xml:space="preserve">Перебор 108 комбинаций в эталонной работе; главный регулятор полнота/точность</w:t>
            </w:r>
          </w:p>
        </w:tc>
      </w:tr>
      <w:tr>
        <w:trPr>
          <w:cantSplit/>
        </w:trPr>
        <w:tc>
          <w:tcPr>
            <w:tcW w:type="pct" w:w="28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6"/>
                <w:szCs w:val="16"/>
              </w:rPr>
              <w:t xml:space="preserve">Минимум пикселей n</w:t>
            </w:r>
          </w:p>
        </w:tc>
        <w:tc>
          <w:tcPr>
            <w:tcW w:type="pct" w:w="18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6"/>
                <w:szCs w:val="16"/>
              </w:rPr>
              <w:t xml:space="preserve">25</w:t>
            </w:r>
          </w:p>
        </w:tc>
        <w:tc>
          <w:tcPr>
            <w:tcW w:type="pct" w:w="18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6"/>
                <w:szCs w:val="16"/>
              </w:rPr>
              <w:t xml:space="preserve">20–30</w:t>
            </w:r>
          </w:p>
        </w:tc>
        <w:tc>
          <w:tcPr>
            <w:tcW w:type="pct" w:w="36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6"/>
                <w:szCs w:val="16"/>
              </w:rPr>
              <w:t xml:space="preserve">0,25 га при шаге 10 м; отсечка спекл-флагов</w:t>
            </w:r>
          </w:p>
        </w:tc>
      </w:tr>
      <w:tr>
        <w:trPr>
          <w:cantSplit/>
        </w:trPr>
        <w:tc>
          <w:tcPr>
            <w:tcW w:type="pct" w:w="28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6"/>
                <w:szCs w:val="16"/>
              </w:rPr>
              <w:t xml:space="preserve">ЛМУ</w:t>
            </w:r>
          </w:p>
        </w:tc>
        <w:tc>
          <w:tcPr>
            <w:tcW w:type="pct" w:w="18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6"/>
                <w:szCs w:val="16"/>
              </w:rPr>
              <w:t xml:space="preserve">0,5 га</w:t>
            </w:r>
          </w:p>
        </w:tc>
        <w:tc>
          <w:tcPr>
            <w:tcW w:type="pct" w:w="18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6"/>
                <w:szCs w:val="16"/>
              </w:rPr>
              <w:t xml:space="preserve">0,3–1,0</w:t>
            </w:r>
          </w:p>
        </w:tc>
        <w:tc>
          <w:tcPr>
            <w:tcW w:type="pct" w:w="36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6"/>
                <w:szCs w:val="16"/>
              </w:rPr>
              <w:t xml:space="preserve">Требование лесоустройства к минимальному контуру</w:t>
            </w:r>
          </w:p>
        </w:tc>
      </w:tr>
      <w:tr>
        <w:trPr>
          <w:cantSplit/>
        </w:trPr>
        <w:tc>
          <w:tcPr>
            <w:tcW w:type="pct" w:w="28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6"/>
                <w:szCs w:val="16"/>
              </w:rPr>
              <w:t xml:space="preserve">Связность</w:t>
            </w:r>
          </w:p>
        </w:tc>
        <w:tc>
          <w:tcPr>
            <w:tcW w:type="pct" w:w="18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6"/>
                <w:szCs w:val="16"/>
              </w:rPr>
              <w:t xml:space="preserve">8 соседей</w:t>
            </w:r>
          </w:p>
        </w:tc>
        <w:tc>
          <w:tcPr>
            <w:tcW w:type="pct" w:w="18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6"/>
                <w:szCs w:val="16"/>
              </w:rPr>
              <w:t xml:space="preserve">4 или 8</w:t>
            </w:r>
          </w:p>
        </w:tc>
        <w:tc>
          <w:tcPr>
            <w:tcW w:type="pct" w:w="36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6"/>
                <w:szCs w:val="16"/>
              </w:rPr>
              <w:t xml:space="preserve">Влияет на слитность смежных очагов</w:t>
            </w:r>
          </w:p>
        </w:tc>
      </w:tr>
      <w:tr>
        <w:trPr>
          <w:cantSplit/>
        </w:trPr>
        <w:tc>
          <w:tcPr>
            <w:tcW w:type="pct" w:w="28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6"/>
                <w:szCs w:val="16"/>
              </w:rPr>
              <w:t xml:space="preserve">Поляризации</w:t>
            </w:r>
          </w:p>
        </w:tc>
        <w:tc>
          <w:tcPr>
            <w:tcW w:type="pct" w:w="18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6"/>
                <w:szCs w:val="16"/>
              </w:rPr>
              <w:t xml:space="preserve">VV + VH</w:t>
            </w:r>
          </w:p>
        </w:tc>
        <w:tc>
          <w:tcPr>
            <w:tcW w:type="pct" w:w="18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6"/>
                <w:szCs w:val="16"/>
              </w:rPr>
              <w:t xml:space="preserve">VH отдельно</w:t>
            </w:r>
          </w:p>
        </w:tc>
        <w:tc>
          <w:tcPr>
            <w:tcW w:type="pct" w:w="36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6"/>
                <w:szCs w:val="16"/>
              </w:rPr>
              <w:t xml:space="preserve">Сумма поляризаций повышает устойчивость</w:t>
            </w:r>
          </w:p>
        </w:tc>
      </w:tr>
      <w:tr>
        <w:trPr>
          <w:cantSplit/>
        </w:trPr>
        <w:tc>
          <w:tcPr>
            <w:tcW w:type="pct" w:w="28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6"/>
                <w:szCs w:val="16"/>
              </w:rPr>
              <w:t xml:space="preserve">Маска леса</w:t>
            </w:r>
          </w:p>
        </w:tc>
        <w:tc>
          <w:tcPr>
            <w:tcW w:type="pct" w:w="18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6"/>
                <w:szCs w:val="16"/>
              </w:rPr>
              <w:t xml:space="preserve">Обязательна</w:t>
            </w:r>
          </w:p>
        </w:tc>
        <w:tc>
          <w:tcPr>
            <w:tcW w:type="pct" w:w="18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pct" w:w="36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6"/>
                <w:szCs w:val="16"/>
              </w:rPr>
              <w:t xml:space="preserve">Порог применяется только внутри леса</w:t>
            </w:r>
          </w:p>
        </w:tc>
      </w:tr>
    </w:tbl>
    <w:p>
      <w:pPr>
        <w:spacing w:after="12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Ожидаемые метрики при соблюдении спецификации: полнота (producer's accuracy) 0,88 для ареальных ветровалов на независимом тестовом участке и точность пользователя (user's accuracy) 0,85 по совокупности классов повреждения. Эти значения получены в эталонной работе на немецком участке площадью около 125 км² леса и задают целевой уровень приёмки плагина: на тестовых штормовых участках полнота и точность пользователя должны быть не ниже 0,80 при проверке по независимым контурам. Принципиальное ограничение — партикулярные повреждения единичными деревьями и прогалины меньше ЛМУ: они не обнаруживаются ни при какой настройке порога, что отражено в сообщениях плагина о границах применимости.</w:t>
      </w:r>
    </w:p>
    <w:p>
      <w:pPr>
        <w:pStyle w:val="Heading1"/>
        <w:spacing w:after="160" w:before="360" w:line="312"/>
      </w:pPr>
      <w:bookmarkStart w:id="100021" w:name="_Toc100021"/>
      <w:r>
        <w:rPr>
          <w:rFonts w:ascii="Arial" w:eastAsia="SimHei"/>
          <w:b/>
          <w:bCs/>
          <w:color w:val="1A4A3C"/>
          <w:sz w:val="32"/>
          <w:szCs w:val="32"/>
        </w:rPr>
        <w:t xml:space="preserve">6. Векторизация и выходные продукты</w:t>
      </w:r>
      <w:bookmarkEnd w:id="100021"/>
    </w:p>
    <w:p>
      <w:pPr>
        <w:pStyle w:val="Heading2"/>
        <w:spacing w:after="120" w:before="240" w:line="312"/>
      </w:pPr>
      <w:bookmarkStart w:id="100022" w:name="_Toc100022"/>
      <w:r>
        <w:rPr>
          <w:rFonts w:ascii="Arial" w:eastAsia="SimHei"/>
          <w:b/>
          <w:bCs/>
          <w:color w:val="1A4A3C"/>
          <w:sz w:val="28"/>
          <w:szCs w:val="28"/>
        </w:rPr>
        <w:t xml:space="preserve">6.1. Построение контуров и атрибутика</w:t>
      </w:r>
      <w:bookmarkEnd w:id="100022"/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Растровые флаги этапа 3 переводятся в векторный слой полигонизацией GDAL с восьмисвязностью, затем контуры сглаживаются лёгким упрощением для устранения ступенчатости пиксельных границ. По каждому контуру рассчитывается набор атрибутов, достаточный для передачи лесничеству без обращения к исходным данным: площадь в гектарах, статистика индекса, состав использованных сцен и полная версия параметров обработки. Слой сохраняется в GeoPackage — едином формате передачи между QGIS, настольными ГИС лесхозов и веб-картографическими стеками.</w:t>
      </w:r>
    </w:p>
    <w:p>
      <w:pPr>
        <w:keepNext/>
        <w:spacing w:after="100" w:before="160" w:line="312"/>
        <w:jc w:val="left"/>
      </w:pPr>
      <w:r>
        <w:rPr>
          <w:rFonts w:ascii="Arial" w:eastAsia="SimHei"/>
          <w:b/>
          <w:bCs/>
          <w:color w:val="1A4A3C"/>
          <w:sz w:val="21"/>
          <w:szCs w:val="21"/>
        </w:rPr>
        <w:t xml:space="preserve">Таблица 6 — Выходные продукты плагина</w:t>
      </w:r>
    </w:p>
    <w:tbl>
      <w:tblPr>
        <w:tblW w:type="pct" w:w="100%"/>
        <w:tblBorders>
          <w:top w:val="single" w:color="2A7A65" w:sz="6"/>
          <w:left w:val="none" w:color="FFFFFF" w:sz="0"/>
          <w:bottom w:val="single" w:color="2A7A65" w:sz="6"/>
          <w:right w:val="none" w:color="FFFFFF" w:sz="0"/>
          <w:insideH w:val="single" w:color="C5D8D0" w:sz="2"/>
          <w:insideV w:val="single" w:color="C5D8D0" w:sz="2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2A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Продукт</w:t>
            </w:r>
          </w:p>
        </w:tc>
        <w:tc>
          <w:tcPr>
            <w:tcW w:type="pct" w:w="50%"/>
            <w:shd w:fill="2A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Содержимое</w:t>
            </w:r>
          </w:p>
        </w:tc>
        <w:tc>
          <w:tcPr>
            <w:tcW w:type="pct" w:w="20%"/>
            <w:shd w:fill="2A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Формат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Контуры ветровалов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Полигоны ≥ ЛМУ: id, площадь, wi_mean, wi_max, число пикселей, даты окон, орбиты, идентификаторы сцен, версия параметров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GeoPackage</w:t>
            </w:r>
          </w:p>
        </w:tc>
      </w:tr>
      <w:tr>
        <w:trPr>
          <w:cantSplit/>
        </w:trPr>
        <w:tc>
          <w:tcPr>
            <w:tcW w:type="pct" w:w="30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Растр WI</w:t>
            </w:r>
          </w:p>
        </w:tc>
        <w:tc>
          <w:tcPr>
            <w:tcW w:type="pct" w:w="50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Индекс ветровала в дБ, сетка 10 м</w:t>
            </w:r>
          </w:p>
        </w:tc>
        <w:tc>
          <w:tcPr>
            <w:tcW w:type="pct" w:w="20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GeoTIFF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Растр флагов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Пороговое решение до векторизации, для контроля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GeoTIFF</w:t>
            </w:r>
          </w:p>
        </w:tc>
      </w:tr>
      <w:tr>
        <w:trPr>
          <w:cantSplit/>
        </w:trPr>
        <w:tc>
          <w:tcPr>
            <w:tcW w:type="pct" w:w="30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Маски</w:t>
            </w:r>
          </w:p>
        </w:tc>
        <w:tc>
          <w:tcPr>
            <w:tcW w:type="pct" w:w="50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Маска леса и операторские маски, фактически применённые в прогоне</w:t>
            </w:r>
          </w:p>
        </w:tc>
        <w:tc>
          <w:tcPr>
            <w:tcW w:type="pct" w:w="20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GeoTIFF / GPKG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Отчёт QC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Список сцен с датами и орбитами, среднее индекса, порог, статистика площадей, предупреждения (сезон, дефицит сцен)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HTML / PDF</w:t>
            </w:r>
          </w:p>
        </w:tc>
      </w:tr>
      <w:tr>
        <w:trPr>
          <w:cantSplit/>
        </w:trPr>
        <w:tc>
          <w:tcPr>
            <w:tcW w:type="pct" w:w="30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Слайд экспресс-проверки</w:t>
            </w:r>
          </w:p>
        </w:tc>
        <w:tc>
          <w:tcPr>
            <w:tcW w:type="pct" w:w="50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Оптика Sentinel-2 или Planet до/после с наложением контуров</w:t>
            </w:r>
          </w:p>
        </w:tc>
        <w:tc>
          <w:tcPr>
            <w:tcW w:type="pct" w:w="20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PNG в отчёте</w:t>
            </w:r>
          </w:p>
        </w:tc>
      </w:tr>
    </w:tbl>
    <w:p>
      <w:pPr>
        <w:pStyle w:val="Heading2"/>
        <w:spacing w:after="120" w:before="240" w:line="312"/>
      </w:pPr>
      <w:bookmarkStart w:id="100023" w:name="_Toc100023"/>
      <w:r>
        <w:rPr>
          <w:rFonts w:ascii="Arial" w:eastAsia="SimHei"/>
          <w:b/>
          <w:bCs/>
          <w:color w:val="1A4A3C"/>
          <w:sz w:val="28"/>
          <w:szCs w:val="28"/>
        </w:rPr>
        <w:t xml:space="preserve">6.2. Экспресс-проверка на оптике</w:t>
      </w:r>
      <w:bookmarkEnd w:id="100023"/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Итоговая карта в обязательном порядке сопровождается экспресс-проверкой: на контуры накладывается оптическое изображение до и после события из Sentinel-2, а при доступности — высокодетальной съёмки Planet. Задача проверки — отделить истинные ветровалы от оставшихся сомнительных случаев (свежие рубки, вывалы прошлых лет, переувлажнения), которые не удалось исключить масками. Оператор присваивает контурам статусы подтверждено, сомнительно или отклонено прямо в атрибутивной таблице; статусы попадают в отчёт и в финальный слой. Практика эталонной работы показывает, что такая двухступенчатая схема — автоматическое обнаружение плюс короткая визуальная верификация — укладывается в целевую задержку две недели и не требует штата дешифровщиков.</w:t>
      </w:r>
    </w:p>
    <w:p>
      <w:pPr>
        <w:spacing w:after="12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Полный цикл от загрузки сцен до подписанного оператором слоя занимает порядка двух недель: одна–две недели формируются окном t2 и поступлением сцен, а собственно машинная обработка участка размером с типичное лесничество выполняется на рабочей станции за десятки минут, включая предобработку.</w:t>
      </w:r>
    </w:p>
    <w:p>
      <w:pPr>
        <w:pStyle w:val="Heading1"/>
        <w:spacing w:after="160" w:before="360" w:line="312"/>
      </w:pPr>
      <w:bookmarkStart w:id="100024" w:name="_Toc100024"/>
      <w:r>
        <w:rPr>
          <w:rFonts w:ascii="Arial" w:eastAsia="SimHei"/>
          <w:b/>
          <w:bCs/>
          <w:color w:val="1A4A3C"/>
          <w:sz w:val="32"/>
          <w:szCs w:val="32"/>
        </w:rPr>
        <w:t xml:space="preserve">7. Автоматизация в QGIS</w:t>
      </w:r>
      <w:bookmarkEnd w:id="100024"/>
    </w:p>
    <w:p>
      <w:pPr>
        <w:pStyle w:val="Heading2"/>
        <w:spacing w:after="120" w:before="240" w:line="312"/>
      </w:pPr>
      <w:bookmarkStart w:id="100025" w:name="_Toc100025"/>
      <w:r>
        <w:rPr>
          <w:rFonts w:ascii="Arial" w:eastAsia="SimHei"/>
          <w:b/>
          <w:bCs/>
          <w:color w:val="1A4A3C"/>
          <w:sz w:val="28"/>
          <w:szCs w:val="28"/>
        </w:rPr>
        <w:t xml:space="preserve">7.1. Архитектура модулей и интеграция с существующим плагином</w:t>
      </w:r>
      <w:bookmarkEnd w:id="100025"/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Плагин строится из пяти модулей, соответствующих этапам воркфлоу. Модули A и B частично уже реализованы в существующем плагине загрузки и предобработки; их доработка сводится к интерфейсному стыку и четырём точкам контроля раздела 4.4. Модули C, D и E разрабатываются заново и не зависят от деталей реализации существующих, поскольку общаются с ними только через файловые продукты фиксированных форматов.</w:t>
      </w:r>
    </w:p>
    <w:p>
      <w:pPr>
        <w:keepNext/>
        <w:spacing w:after="100" w:before="160" w:line="312"/>
        <w:jc w:val="left"/>
      </w:pPr>
      <w:r>
        <w:rPr>
          <w:rFonts w:ascii="Arial" w:eastAsia="SimHei"/>
          <w:b/>
          <w:bCs/>
          <w:color w:val="1A4A3C"/>
          <w:sz w:val="21"/>
          <w:szCs w:val="21"/>
        </w:rPr>
        <w:t xml:space="preserve">Таблица 7 — Модули плагина</w:t>
      </w:r>
    </w:p>
    <w:tbl>
      <w:tblPr>
        <w:tblW w:type="pct" w:w="100%"/>
        <w:tblBorders>
          <w:top w:val="single" w:color="2A7A65" w:sz="6"/>
          <w:left w:val="none" w:color="FFFFFF" w:sz="0"/>
          <w:bottom w:val="single" w:color="2A7A65" w:sz="6"/>
          <w:right w:val="none" w:color="FFFFFF" w:sz="0"/>
          <w:insideH w:val="single" w:color="C5D8D0" w:sz="2"/>
          <w:insideV w:val="single" w:color="C5D8D0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2A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14"/>
                <w:szCs w:val="14"/>
              </w:rPr>
              <w:t xml:space="preserve">Модуль</w:t>
            </w:r>
          </w:p>
        </w:tc>
        <w:tc>
          <w:tcPr>
            <w:tcW w:type="pct" w:w="38%"/>
            <w:shd w:fill="2A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14"/>
                <w:szCs w:val="14"/>
              </w:rPr>
              <w:t xml:space="preserve">Функции</w:t>
            </w:r>
          </w:p>
        </w:tc>
        <w:tc>
          <w:tcPr>
            <w:tcW w:type="pct" w:w="20%"/>
            <w:shd w:fill="2A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14"/>
                <w:szCs w:val="14"/>
              </w:rPr>
              <w:t xml:space="preserve">Статус</w:t>
            </w:r>
          </w:p>
        </w:tc>
        <w:tc>
          <w:tcPr>
            <w:tcW w:type="pct" w:w="26%"/>
            <w:shd w:fill="2A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14"/>
                <w:szCs w:val="14"/>
              </w:rPr>
              <w:t xml:space="preserve">Реализация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4"/>
                <w:szCs w:val="14"/>
              </w:rPr>
              <w:t xml:space="preserve">A. Загрузка</w:t>
            </w:r>
          </w:p>
        </w:tc>
        <w:tc>
          <w:tcPr>
            <w:tcW w:type="pct" w:w="38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4"/>
                <w:szCs w:val="14"/>
              </w:rPr>
              <w:t xml:space="preserve">Поиск сцен по AOI, окнам и направлениям; выгрузка; каталог с состоянием сцен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4"/>
                <w:szCs w:val="14"/>
              </w:rPr>
              <w:t xml:space="preserve">Есть</w:t>
            </w:r>
          </w:p>
        </w:tc>
        <w:tc>
          <w:tcPr>
            <w:tcW w:type="pct" w:w="26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4"/>
                <w:szCs w:val="14"/>
              </w:rPr>
              <w:t xml:space="preserve">Существующий плагин; добавить расчёт окон по t0</w:t>
            </w:r>
          </w:p>
        </w:tc>
      </w:tr>
      <w:tr>
        <w:trPr>
          <w:cantSplit/>
        </w:trPr>
        <w:tc>
          <w:tcPr>
            <w:tcW w:type="pct" w:w="16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4"/>
                <w:szCs w:val="14"/>
              </w:rPr>
              <w:t xml:space="preserve">B. Предобработка</w:t>
            </w:r>
          </w:p>
        </w:tc>
        <w:tc>
          <w:tcPr>
            <w:tcW w:type="pct" w:w="38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4"/>
                <w:szCs w:val="14"/>
              </w:rPr>
              <w:t xml:space="preserve">Цепочка таблицы 4 до гамма-ноль RTC в децибелах</w:t>
            </w:r>
          </w:p>
        </w:tc>
        <w:tc>
          <w:tcPr>
            <w:tcW w:type="pct" w:w="20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4"/>
                <w:szCs w:val="14"/>
              </w:rPr>
              <w:t xml:space="preserve">Есть, доработать</w:t>
            </w:r>
          </w:p>
        </w:tc>
        <w:tc>
          <w:tcPr>
            <w:tcW w:type="pct" w:w="26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4"/>
                <w:szCs w:val="14"/>
              </w:rPr>
              <w:t xml:space="preserve">SNAP gpt; проверить 4 точки контроля раздела 4.4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4"/>
                <w:szCs w:val="14"/>
              </w:rPr>
              <w:t xml:space="preserve">C. Композит и WI</w:t>
            </w:r>
          </w:p>
        </w:tc>
        <w:tc>
          <w:tcPr>
            <w:tcW w:type="pct" w:w="38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4"/>
                <w:szCs w:val="14"/>
              </w:rPr>
              <w:t xml:space="preserve">Средние t1/t2, разности, WI, порог, флаги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4"/>
                <w:szCs w:val="14"/>
              </w:rPr>
              <w:t xml:space="preserve">Новый</w:t>
            </w:r>
          </w:p>
        </w:tc>
        <w:tc>
          <w:tcPr>
            <w:tcW w:type="pct" w:w="26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4"/>
                <w:szCs w:val="14"/>
              </w:rPr>
              <w:t xml:space="preserve">Processing-алгоритм на Python (numpy, GDAL)</w:t>
            </w:r>
          </w:p>
        </w:tc>
      </w:tr>
      <w:tr>
        <w:trPr>
          <w:cantSplit/>
        </w:trPr>
        <w:tc>
          <w:tcPr>
            <w:tcW w:type="pct" w:w="16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4"/>
                <w:szCs w:val="14"/>
              </w:rPr>
              <w:t xml:space="preserve">D. Векторизация</w:t>
            </w:r>
          </w:p>
        </w:tc>
        <w:tc>
          <w:tcPr>
            <w:tcW w:type="pct" w:w="38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4"/>
                <w:szCs w:val="14"/>
              </w:rPr>
              <w:t xml:space="preserve">Полигонизация, фильтры n и ЛМУ, атрибуты, GPKG</w:t>
            </w:r>
          </w:p>
        </w:tc>
        <w:tc>
          <w:tcPr>
            <w:tcW w:type="pct" w:w="20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4"/>
                <w:szCs w:val="14"/>
              </w:rPr>
              <w:t xml:space="preserve">Новый</w:t>
            </w:r>
          </w:p>
        </w:tc>
        <w:tc>
          <w:tcPr>
            <w:tcW w:type="pct" w:w="26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4"/>
                <w:szCs w:val="14"/>
              </w:rPr>
              <w:t xml:space="preserve">GDAL polygonize + Processing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4"/>
                <w:szCs w:val="14"/>
              </w:rPr>
              <w:t xml:space="preserve">E. Отчёт и мониторинг</w:t>
            </w:r>
          </w:p>
        </w:tc>
        <w:tc>
          <w:tcPr>
            <w:tcW w:type="pct" w:w="38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4"/>
                <w:szCs w:val="14"/>
              </w:rPr>
              <w:t xml:space="preserve">QC-отчёт, экспресс-проверка, слежение за новыми сценами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4"/>
                <w:szCs w:val="14"/>
              </w:rPr>
              <w:t xml:space="preserve">Новый</w:t>
            </w:r>
          </w:p>
        </w:tc>
        <w:tc>
          <w:tcPr>
            <w:tcW w:type="pct" w:w="26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4"/>
                <w:szCs w:val="14"/>
              </w:rPr>
              <w:t xml:space="preserve">QGIS Layout, QgsTask, планировщик</w:t>
            </w:r>
          </w:p>
        </w:tc>
      </w:tr>
    </w:tbl>
    <w:p>
      <w:pPr>
        <w:pStyle w:val="Heading2"/>
        <w:spacing w:after="120" w:before="240" w:line="312"/>
      </w:pPr>
      <w:bookmarkStart w:id="100026" w:name="_Toc100026"/>
      <w:r>
        <w:rPr>
          <w:rFonts w:ascii="Arial" w:eastAsia="SimHei"/>
          <w:b/>
          <w:bCs/>
          <w:color w:val="1A4A3C"/>
          <w:sz w:val="28"/>
          <w:szCs w:val="28"/>
        </w:rPr>
        <w:t xml:space="preserve">7.2. Механизм исполнения: Processing-провайдер и пакетные графы SNAP</w:t>
      </w:r>
      <w:bookmarkEnd w:id="100026"/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Модули C–E оформляются как алгоритмы QGIS Processing: каждый доступен отдельно из панели инструментов, объединяется в модели Model Designer и вызывается программно из главного диалога плагина. Это даёт три эффекта: пользователь может запускать шаги вручную при отладке участка, собирать нестандартные цепочки без программирования, а разработчик получает готовую инфраструктуру параметров, прогресса и логов вместо самодельной.</w:t>
      </w:r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Тяжёлая предобработка исполняется пакетным интерпретатором SNAP gpt с XML-графами, сгенерированными плагином под каждую сцену: граф таблицы 4 параметризуется именем продукта, путём к ЦМР и папкой вывода, а вызов идёт через subprocess с контролем кода возврата и тайм-аутом. Вычисления этапов 2–3 выполняются в памяти через numpy поверх GeoTIFF и для типичного лесничества укладываются в единицы минут. Долгие операции (загрузка, gpt-графы, полигонизация больших областей) запускаются как QgsTask с индикацией прогресса, чтобы интерфейс QGIS оставался отзывчивым; параллельные задачи по независимым сценам ограничиваются пулом по числу процессорных ядер.</w:t>
      </w:r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Пакетный режим поддерживает обработку списка событий: плагин читает CSV с колонками имени участка, геометрии AOI, даты бури и пути к пресету, после чего строит очередь задач и исполняет её с пропусканием уже обработанных сцен по кэшу идентификаторов. Это закрывает типовой сценарий регионального управления лесами: один штормовой фронт затрагивает десятки лесничеств, обрабатываемых за один ночной прогон.</w:t>
      </w:r>
    </w:p>
    <w:p>
      <w:pPr>
        <w:pStyle w:val="Heading2"/>
        <w:spacing w:after="120" w:before="240" w:line="312"/>
      </w:pPr>
      <w:bookmarkStart w:id="100027" w:name="_Toc100027"/>
      <w:r>
        <w:rPr>
          <w:rFonts w:ascii="Arial" w:eastAsia="SimHei"/>
          <w:b/>
          <w:bCs/>
          <w:color w:val="1A4A3C"/>
          <w:sz w:val="28"/>
          <w:szCs w:val="28"/>
        </w:rPr>
        <w:t xml:space="preserve">7.3. Пресеты параметров и воспроизводимость</w:t>
      </w:r>
      <w:bookmarkEnd w:id="100027"/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Все параметры воркфлоу — окна, пороги, маски, пути — собираются в пресет JSON, сохраняемый рядом с проектом QGIS и записываемый целиком в атрибутику результата. Пресет делает прогон самодокументированным: любой слой результата содержит дату бури, границы окон, допуск порога, идентификаторы сцен и версию плагина, то есть повторный прогон с тем же пресетом даёт побитово идентичный результат, а смена любой настройки остаётся видимой в данных. Лог-файл каждого прогона дублирует перечень выполненных шагов с временными метками и предупреждениями; отказ отдельной сцены не прерывает пакет, а помечается в отчёте контроля качества.</w:t>
      </w:r>
    </w:p>
    <w:p>
      <w:pPr>
        <w:pStyle w:val="Heading2"/>
        <w:spacing w:after="120" w:before="240" w:line="312"/>
      </w:pPr>
      <w:bookmarkStart w:id="100028" w:name="_Toc100028"/>
      <w:r>
        <w:rPr>
          <w:rFonts w:ascii="Arial" w:eastAsia="SimHei"/>
          <w:b/>
          <w:bCs/>
          <w:color w:val="1A4A3C"/>
          <w:sz w:val="28"/>
          <w:szCs w:val="28"/>
        </w:rPr>
        <w:t xml:space="preserve">7.4. Режим мониторинга и оповещения</w:t>
      </w:r>
      <w:bookmarkEnd w:id="100028"/>
    </w:p>
    <w:p>
      <w:pPr>
        <w:spacing w:after="12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Модуль E реализует описанный в разделе 3.3 фоновый режим: по расписанию миссии плагин проверяет появление новых сцен над наблюдаемыми AOI, доформировывает скользящий композит и вычисляет разности относительно базы. При регистрации связного выброса индекса выше порога пользователь получает уведомление средствами QGIS (панель сообщений и запись в журнале), а участок помечается как кандидат в событийный режим с предложением зафиксировать дату t0 и запустить полное картирование. Архитектурный образец такой схемы — действующие системы алертов по Sentinel-1: для бассейна Конго (Reiche, 2021) и панъевропейская система (van der Woude, 2026), где алерт генерируется уже первой аномальной сценой и уточняется последующими. Для российских условий тот же принцип реализуется без внешних сервисов — целиком внутри QGIS на расписании витков Sentinel-1.</w:t>
      </w:r>
    </w:p>
    <w:p>
      <w:pPr>
        <w:pStyle w:val="Heading1"/>
        <w:spacing w:after="160" w:before="360" w:line="312"/>
      </w:pPr>
      <w:bookmarkStart w:id="100029" w:name="_Toc100029"/>
      <w:r>
        <w:rPr>
          <w:rFonts w:ascii="Arial" w:eastAsia="SimHei"/>
          <w:b/>
          <w:bCs/>
          <w:color w:val="1A4A3C"/>
          <w:sz w:val="32"/>
          <w:szCs w:val="32"/>
        </w:rPr>
        <w:t xml:space="preserve">8. Дорожная карта реализации</w:t>
      </w:r>
      <w:bookmarkEnd w:id="100029"/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Реализация разбита на четыре фазы с проверяемыми критериями приёмки. Такой порядок даёт работающий минимальный цикл уже на первой фазе и позволяет оценивать точность на реальных данных до вложений в интерфейс. Тестовый полигон первой фазы выбирается по двум критериям: наличие штормового события известной даты и наличие независимых контуров повреждений от лесоустройства либо по оптической съёмке высокого разрешения — без этого этап приёмки точности не формализуем.</w:t>
      </w:r>
    </w:p>
    <w:p>
      <w:pPr>
        <w:keepNext/>
        <w:spacing w:after="100" w:before="160" w:line="312"/>
        <w:jc w:val="left"/>
      </w:pPr>
      <w:r>
        <w:rPr>
          <w:rFonts w:ascii="Arial" w:eastAsia="SimHei"/>
          <w:b/>
          <w:bCs/>
          <w:color w:val="1A4A3C"/>
          <w:sz w:val="21"/>
          <w:szCs w:val="21"/>
        </w:rPr>
        <w:t xml:space="preserve">Таблица 8 — Фазы разработки</w:t>
      </w:r>
    </w:p>
    <w:tbl>
      <w:tblPr>
        <w:tblW w:type="pct" w:w="100%"/>
        <w:tblBorders>
          <w:top w:val="single" w:color="2A7A65" w:sz="6"/>
          <w:left w:val="none" w:color="FFFFFF" w:sz="0"/>
          <w:bottom w:val="single" w:color="2A7A65" w:sz="6"/>
          <w:right w:val="none" w:color="FFFFFF" w:sz="0"/>
          <w:insideH w:val="single" w:color="C5D8D0" w:sz="2"/>
          <w:insideV w:val="single" w:color="C5D8D0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2A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12"/>
                <w:szCs w:val="12"/>
              </w:rPr>
              <w:t xml:space="preserve">Фаза</w:t>
            </w:r>
          </w:p>
        </w:tc>
        <w:tc>
          <w:tcPr>
            <w:tcW w:type="pct" w:w="40%"/>
            <w:shd w:fill="2A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12"/>
                <w:szCs w:val="12"/>
              </w:rPr>
              <w:t xml:space="preserve">Состав работ</w:t>
            </w:r>
          </w:p>
        </w:tc>
        <w:tc>
          <w:tcPr>
            <w:tcW w:type="pct" w:w="32%"/>
            <w:shd w:fill="2A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12"/>
                <w:szCs w:val="12"/>
              </w:rPr>
              <w:t xml:space="preserve">Критерий приёмки</w:t>
            </w:r>
          </w:p>
        </w:tc>
        <w:tc>
          <w:tcPr>
            <w:tcW w:type="pct" w:w="14%"/>
            <w:shd w:fill="2A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12"/>
                <w:szCs w:val="12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2"/>
                <w:szCs w:val="12"/>
              </w:rPr>
              <w:t xml:space="preserve">MVP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2"/>
                <w:szCs w:val="12"/>
              </w:rPr>
              <w:t xml:space="preserve">gpt-графы этапа 1; скрипты этапов 2–4; прогон на одном тестовом шторме</w:t>
            </w:r>
          </w:p>
        </w:tc>
        <w:tc>
          <w:tcPr>
            <w:tcW w:type="pct" w:w="32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2"/>
                <w:szCs w:val="12"/>
              </w:rPr>
              <w:t xml:space="preserve">Карта ветровалов совпадает с контрольными контурами: полнота и точность пользователя не ниже 0,80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2"/>
                <w:szCs w:val="12"/>
              </w:rPr>
              <w:t xml:space="preserve">2–3 недели</w:t>
            </w:r>
          </w:p>
        </w:tc>
      </w:tr>
      <w:tr>
        <w:trPr>
          <w:cantSplit/>
        </w:trPr>
        <w:tc>
          <w:tcPr>
            <w:tcW w:type="pct" w:w="14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2"/>
                <w:szCs w:val="12"/>
              </w:rPr>
              <w:t xml:space="preserve">v0.9</w:t>
            </w:r>
          </w:p>
        </w:tc>
        <w:tc>
          <w:tcPr>
            <w:tcW w:type="pct" w:w="40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2"/>
                <w:szCs w:val="12"/>
              </w:rPr>
              <w:t xml:space="preserve">Processing-провайдер модулей C–D; диалог параметров; пресеты JSON; GPKG и отчёт QC</w:t>
            </w:r>
          </w:p>
        </w:tc>
        <w:tc>
          <w:tcPr>
            <w:tcW w:type="pct" w:w="32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2"/>
                <w:szCs w:val="12"/>
              </w:rPr>
              <w:t xml:space="preserve">Воспроизводимый прогон на двух участках из QGIS без правки кода</w:t>
            </w:r>
          </w:p>
        </w:tc>
        <w:tc>
          <w:tcPr>
            <w:tcW w:type="pct" w:w="14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2"/>
                <w:szCs w:val="12"/>
              </w:rPr>
              <w:t xml:space="preserve">3–4 недели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2"/>
                <w:szCs w:val="12"/>
              </w:rPr>
              <w:t xml:space="preserve">v1.0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2"/>
                <w:szCs w:val="12"/>
              </w:rPr>
              <w:t xml:space="preserve">Модуль E: мониторинг, уведомления; пакетный CSV-режим; документация и тесты</w:t>
            </w:r>
          </w:p>
        </w:tc>
        <w:tc>
          <w:tcPr>
            <w:tcW w:type="pct" w:w="32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2"/>
                <w:szCs w:val="12"/>
              </w:rPr>
              <w:t xml:space="preserve">Ночной пакетный прогон региона; отчёт QC со предупреждениями о сезоне и дефиците сцен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2"/>
                <w:szCs w:val="12"/>
              </w:rPr>
              <w:t xml:space="preserve">4–6 недель</w:t>
            </w:r>
          </w:p>
        </w:tc>
      </w:tr>
      <w:tr>
        <w:trPr>
          <w:cantSplit/>
        </w:trPr>
        <w:tc>
          <w:tcPr>
            <w:tcW w:type="pct" w:w="14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2"/>
                <w:szCs w:val="12"/>
              </w:rPr>
              <w:t xml:space="preserve">v1.1+</w:t>
            </w:r>
          </w:p>
        </w:tc>
        <w:tc>
          <w:tcPr>
            <w:tcW w:type="pct" w:w="40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2"/>
                <w:szCs w:val="12"/>
              </w:rPr>
              <w:t xml:space="preserve">Автоматический подбор порога по обучающим контурам; текстурные признаки; перспективы L-диапазона</w:t>
            </w:r>
          </w:p>
        </w:tc>
        <w:tc>
          <w:tcPr>
            <w:tcW w:type="pct" w:w="32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2"/>
                <w:szCs w:val="12"/>
              </w:rPr>
              <w:t xml:space="preserve">Прирост полноты на тестах без потери точности пользователя</w:t>
            </w:r>
          </w:p>
        </w:tc>
        <w:tc>
          <w:tcPr>
            <w:tcW w:type="pct" w:w="14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2"/>
                <w:szCs w:val="12"/>
              </w:rPr>
              <w:t xml:space="preserve">по оценке</w:t>
            </w:r>
          </w:p>
        </w:tc>
      </w:tr>
    </w:tbl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Первая фаза сознательно не содержит графического интерфейса: консольные скрипты проще отлаживать и профиль точности важнее удобства на этом шаге. Вторая фаза переносит проверенные алгоритмы в Processing и закрывает пользовательский сценарий «один участок, один диалог». Третья добавляет региональный масштаб и фоновое слежение. Четвёртая фаза связана с повышением качества: автоматический подбор порога по выборочным обучающим контурам снимает ручную настройку a, текстурные признаки и объединение с L-диапазоном (PALSAR-2 и перспективная ROSE-L) расширяют обнаружение в направлении работ Dalponte (2023) и Balling (2024), а самообучающиеся модели по типу Kuzu (2024) рассматриваются как дальнейший горизонт.</w:t>
      </w:r>
    </w:p>
    <w:p>
      <w:pPr>
        <w:pStyle w:val="Heading1"/>
        <w:spacing w:after="160" w:before="360" w:line="312"/>
      </w:pPr>
      <w:bookmarkStart w:id="100030" w:name="_Toc100030"/>
      <w:r>
        <w:rPr>
          <w:rFonts w:ascii="Arial" w:eastAsia="SimHei"/>
          <w:b/>
          <w:bCs/>
          <w:color w:val="1A4A3C"/>
          <w:sz w:val="32"/>
          <w:szCs w:val="32"/>
        </w:rPr>
        <w:t xml:space="preserve">9. Заключение: ответы на ключевые вопросы воркфлоу</w:t>
      </w:r>
      <w:bookmarkEnd w:id="100030"/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Временной диапазон данных задаётся датой шторма и двумя окнами: четыре–пять сцен за две–шесть недель до события образуют базовый композит, до десяти сцен за четыре недели после события — пост-штормовой, с целевой задержкой первой карты около двух недель и включением витков обоих направлений. Для бореальной зоны обязательно соблюдение одного вегетационного сезона в обоих окнах; зимние сцены и смешение сезонов запрещены. С частотой съёмки 6–12 дней на направление плотность дат с запасом покрывает потребности метода на всей лесной зоне России.</w:t>
      </w:r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Предобработка выполняется фиксированной цепочкой из семи операторов: уточнённые орбиты, краевой и тепловой шум, калибровка, радиометрическое выравнивание рельефа до гамма-ноль, геокодирование на сетку 10 м и перевод в децибелы. Спекл-фильтры на одиночных сценах не применяются — шум подавляется мультитемпоральным композитом. Ключевая точка контроля существующего плагина — фактический выход гамма-ноль после Terrain-Flattening и использование Copernicus DEM GLO-30 вместо SRTM выше шестидесятой параллели.</w:t>
      </w:r>
    </w:p>
    <w:p>
      <w:pPr>
        <w:spacing w:after="8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После предобработки плагин усредняет композиты, вычисляет индекс ветровала как сумму разностей VV и VH, назначает адаптивный порог — среднее по маске леса плюс 3 дБ — и группирует флаги в контуры с фильтрами 25 пикселей и 0,5 га. Ожидаемые метрики на независимых данных: полнота 0,88 и точность пользователя 0,85 для ареальных ветровалов; партикулярные повреждения меньше минимальной единицы картирования остаются вне области обнаружения. Итог — GeoPackage с атрибутикой, растр индекса, отчёт контроля качества и слайд экспресс-проверки на оптике.</w:t>
      </w:r>
    </w:p>
    <w:p>
      <w:pPr>
        <w:spacing w:after="120" w:line="312"/>
        <w:ind w:firstLine="709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Автоматизация достигается сборкой модулей в алгоритмы QGIS Processing с пакетным исполнением SNAP через gpt, пресетами JSON с полной версией параметров в атрибутике, фоновыми задачами QgsTask и CSV-очередями для региональных прогонов. Модуль мониторинга превращает тот же алгоритм в систему раннего оповещения по расписанию витков Sentinel-1 — по образцу действующих SAR-алертов, но без внешних зависимостей. Этим закрывается выявленный в обзоре разрыв: SAR-детектирование ветровалов впервые становится доступным российской лесной практике в виде воспроизводимого инструмента открытого стека.</w:t>
      </w:r>
    </w:p>
    <w:p>
      <w:pPr>
        <w:pStyle w:val="Heading1"/>
        <w:spacing w:after="160" w:before="360" w:line="312"/>
      </w:pPr>
      <w:bookmarkStart w:id="100031" w:name="_Toc100031"/>
      <w:r>
        <w:rPr>
          <w:rFonts w:ascii="Arial" w:eastAsia="SimHei"/>
          <w:b/>
          <w:bCs/>
          <w:color w:val="1A4A3C"/>
          <w:sz w:val="32"/>
          <w:szCs w:val="32"/>
        </w:rPr>
        <w:t xml:space="preserve">Список литературы</w:t>
      </w:r>
      <w:bookmarkEnd w:id="100031"/>
    </w:p>
    <w:p>
      <w:pPr>
        <w:spacing w:after="60" w:line="312"/>
        <w:ind w:left="425" w:hanging="425"/>
        <w:jc w:val="left"/>
      </w:pPr>
      <w:r>
        <w:rPr>
          <w:rFonts w:ascii="Times New Roman" w:eastAsia="SimSun"/>
          <w:color w:val="000000"/>
          <w:sz w:val="22"/>
          <w:szCs w:val="22"/>
        </w:rPr>
        <w:t xml:space="preserve">1. Rüetschi, M. Rapid detection of windthrows using Sentinel-1 C-band SAR data / M. Rüetschi, D. Small, L. T. Waser // Remote Sensing. — 2019. — Vol. 11, iss. 2. — Art. 115. — DOI 10.3390/rs11020115.</w:t>
      </w:r>
    </w:p>
    <w:p>
      <w:pPr>
        <w:spacing w:after="60" w:line="312"/>
        <w:ind w:left="425" w:hanging="425"/>
        <w:jc w:val="left"/>
      </w:pPr>
      <w:r>
        <w:rPr>
          <w:rFonts w:ascii="Times New Roman" w:eastAsia="SimSun"/>
          <w:color w:val="000000"/>
          <w:sz w:val="22"/>
          <w:szCs w:val="22"/>
        </w:rPr>
        <w:t xml:space="preserve">2. Small, D. Flattening gamma: radiometric terrain correction for SAR imagery / D. Small // IEEE Transactions on Geoscience and Remote Sensing. — 2011. — Vol. 49, iss. 8. — P. 3081–3093. — DOI 10.1109/TGRS.2011.2120616.</w:t>
      </w:r>
    </w:p>
    <w:p>
      <w:pPr>
        <w:spacing w:after="60" w:line="312"/>
        <w:ind w:left="425" w:hanging="425"/>
        <w:jc w:val="left"/>
      </w:pPr>
      <w:r>
        <w:rPr>
          <w:rFonts w:ascii="Times New Roman" w:eastAsia="SimSun"/>
          <w:color w:val="000000"/>
          <w:sz w:val="22"/>
          <w:szCs w:val="22"/>
        </w:rPr>
        <w:t xml:space="preserve">3. Eriksson, L. E. B. Backscatter signatures of wind-thrown forest in satellite SAR images / L. E. B. Eriksson, J. E. S. Fransson, M. J. Soja [и др.] // 2012 IEEE International Geoscience and Remote Sensing Symposium : proceedings. — Munich, 2012. — P. 6435–6438. — DOI 10.1109/IGARSS.2012.6352732.</w:t>
      </w:r>
    </w:p>
    <w:p>
      <w:pPr>
        <w:spacing w:after="60" w:line="312"/>
        <w:ind w:left="425" w:hanging="425"/>
        <w:jc w:val="left"/>
      </w:pPr>
      <w:r>
        <w:rPr>
          <w:rFonts w:ascii="Times New Roman" w:eastAsia="SimSun"/>
          <w:color w:val="000000"/>
          <w:sz w:val="22"/>
          <w:szCs w:val="22"/>
        </w:rPr>
        <w:t xml:space="preserve">4. Tanase, M. A. Detection of windthrows and insect outbreaks by L-band SAR: a case study in the Bavarian Forest National Park / M. A. Tanase, C. Aponte, S. Mermoz [и др.] // Remote Sensing of Environment. — 2018. — Vol. 209. — P. 700–711. — DOI 10.1016/j.rse.2018.03.009.</w:t>
      </w:r>
    </w:p>
    <w:p>
      <w:pPr>
        <w:spacing w:after="60" w:line="312"/>
        <w:ind w:left="425" w:hanging="425"/>
        <w:jc w:val="left"/>
      </w:pPr>
      <w:r>
        <w:rPr>
          <w:rFonts w:ascii="Times New Roman" w:eastAsia="SimSun"/>
          <w:color w:val="000000"/>
          <w:sz w:val="22"/>
          <w:szCs w:val="22"/>
        </w:rPr>
        <w:t xml:space="preserve">5. Reiche, J. Forest disturbance alerts for the Congo Basin using Sentinel-1 / J. Reiche, A. Mullissa, B. Slagter [и др.] // Environmental Research Letters. — 2021. — Vol. 16, iss. 5. — Art. 054005. — DOI 10.1088/1748-9326/abd0a8.</w:t>
      </w:r>
    </w:p>
    <w:p>
      <w:pPr>
        <w:spacing w:after="60" w:line="312"/>
        <w:ind w:left="425" w:hanging="425"/>
        <w:jc w:val="left"/>
      </w:pPr>
      <w:r>
        <w:rPr>
          <w:rFonts w:ascii="Times New Roman" w:eastAsia="SimSun"/>
          <w:color w:val="000000"/>
          <w:sz w:val="22"/>
          <w:szCs w:val="22"/>
        </w:rPr>
        <w:t xml:space="preserve">6. Dalponte, M. Detection of forest windthrows with bitemporal COSMO-SkyMed and Sentinel-1 SAR data / M. Dalponte, Y. T. Solano-Correa, D. Marinelli [и др.] // Remote Sensing of Environment. — 2023. — Vol. 297. — Art. 113787. — DOI 10.1016/j.rse.2023.113787.</w:t>
      </w:r>
    </w:p>
    <w:p>
      <w:pPr>
        <w:spacing w:after="60" w:line="312"/>
        <w:ind w:left="425" w:hanging="425"/>
        <w:jc w:val="left"/>
      </w:pPr>
      <w:r>
        <w:rPr>
          <w:rFonts w:ascii="Times New Roman" w:eastAsia="SimSun"/>
          <w:color w:val="000000"/>
          <w:sz w:val="22"/>
          <w:szCs w:val="22"/>
        </w:rPr>
        <w:t xml:space="preserve">7. Balling, J. ALOS-2 PALSAR-2 ScanSAR and Sentinel-1 data for timely tropical forest disturbance mapping: a case study for Sumatra, Indonesia / J. Balling, B. Slagter, S. van der Woude [и др.] // International Journal of Applied Earth Observation and Geoinformation. — 2024. — Vol. 132. — Art. 103994. — DOI 10.1016/j.jag.2024.103994.</w:t>
      </w:r>
    </w:p>
    <w:p>
      <w:pPr>
        <w:spacing w:after="60" w:line="312"/>
        <w:ind w:left="425" w:hanging="425"/>
        <w:jc w:val="left"/>
      </w:pPr>
      <w:r>
        <w:rPr>
          <w:rFonts w:ascii="Times New Roman" w:eastAsia="SimSun"/>
          <w:color w:val="000000"/>
          <w:sz w:val="22"/>
          <w:szCs w:val="22"/>
        </w:rPr>
        <w:t xml:space="preserve">8. Kuzu, R. S. Forest disturbance detection via self-supervised and transfer learning with Sentinel-1&amp;2 images / R. S. Kuzu, O. Antropov, M. Molinier [и др.] // IEEE Journal of Selected Topics in Applied Earth Observations and Remote Sensing. — 2024. — Vol. 17. — P. 4751–4767. — DOI 10.1109/JSTARS.2024.3361183.</w:t>
      </w:r>
    </w:p>
    <w:p>
      <w:pPr>
        <w:spacing w:after="60" w:line="312"/>
        <w:ind w:left="425" w:hanging="425"/>
        <w:jc w:val="left"/>
      </w:pPr>
      <w:r>
        <w:rPr>
          <w:rFonts w:ascii="Times New Roman" w:eastAsia="SimSun"/>
          <w:color w:val="000000"/>
          <w:sz w:val="22"/>
          <w:szCs w:val="22"/>
        </w:rPr>
        <w:t xml:space="preserve">9. van der Woude, S. European forest disturbance alerting using Sentinel-1 / S. van der Woude, J. Reiche, J. Balling [и др.] // Remote Sensing of Environment. — 2026. — Vol. 337. — Art. 115325. — DOI 10.1016/j.rse.2026.115325.</w:t>
      </w:r>
    </w:p>
    <w:p>
      <w:pPr>
        <w:spacing w:after="60" w:line="312"/>
        <w:ind w:left="425" w:hanging="425"/>
        <w:jc w:val="left"/>
      </w:pPr>
      <w:r>
        <w:rPr>
          <w:rFonts w:ascii="Times New Roman" w:eastAsia="SimSun"/>
          <w:color w:val="000000"/>
          <w:sz w:val="22"/>
          <w:szCs w:val="22"/>
        </w:rPr>
        <w:t xml:space="preserve">10. Sentinel-1 SAR User Guide // Copernicus Sentinel Online : официальный сайт. — URL: https://sentinels.copernicus.eu/web/sentinel/user-guides/sentinel-1-sar (дата обращения: 31.08.2026).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80808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80808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  <w:jc w:val="center"/>
    </w:pPr>
    <w:r>
      <w:rPr>
        <w:rFonts w:ascii="Arial" w:eastAsia="SimHei"/>
        <w:color w:val="808080"/>
        <w:sz w:val="18"/>
        <w:szCs w:val="18"/>
      </w:rPr>
      <w:t xml:space="preserve">Воркфлоу детектирования ветровалов по Sentinel-1 — спецификация плагина QGIS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Arial" w:eastAsia="SimHei"/>
      <w:b/>
      <w:bCs/>
      <w:color w:val="1A4A3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Arial" w:eastAsia="SimHei"/>
      <w:b/>
      <w:bCs/>
      <w:color w:val="1A4A3C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Воркфлоу детектирования ветровалов по Sentinel-1</dc:title>
  <dc:creator>Z.ai</dc:creator>
  <cp:lastModifiedBy>Un-named</cp:lastModifiedBy>
  <cp:revision>1</cp:revision>
  <dcterms:created xsi:type="dcterms:W3CDTF">2026-08-30T19:36:38.973Z</dcterms:created>
  <dcterms:modified xsi:type="dcterms:W3CDTF">2026-08-30T19:36:38.974Z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