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C1F1A" w:val="clear"/>
            <w:vAlign w:val="top"/>
          </w:tcPr>
          <w:p>
            <w:pPr>
              <w:spacing w:before="3588"/>
            </w:pPr>
          </w:p>
          <w:p>
            <w:pPr>
              <w:pBdr>
                <w:bottom w:val="single" w:color="3DDBB5" w:sz="6" w:space="8"/>
              </w:pBdr>
              <w:spacing w:after="500"/>
              <w:ind w:left="1200" w:right="800"/>
            </w:pPr>
            <w:r>
              <w:rPr>
                <w:rFonts w:ascii="Arial" w:eastAsia="SimHei"/>
                <w:color w:val="3DDBB5"/>
                <w:spacing w:val="40"/>
                <w:sz w:val="18"/>
                <w:szCs w:val="18"/>
              </w:rPr>
              <w:t xml:space="preserve">R  E  A  L  -  W  O  R  L  D     T  E  S  T  I  N  G     P  L  A  N</w:t>
            </w:r>
          </w:p>
          <w:p>
            <w:pPr>
              <w:spacing w:after="100" w:line="920" w:lineRule="atLeast"/>
              <w:ind w:left="1200"/>
            </w:pPr>
            <w:r>
              <w:rPr>
                <w:rFonts w:ascii="Arial" w:eastAsia="SimHei"/>
                <w:b/>
                <w:bCs/>
                <w:color w:val="FFFFFF"/>
                <w:sz w:val="80"/>
                <w:szCs w:val="80"/>
              </w:rPr>
              <w:t xml:space="preserve">Реальное тестирование</w:t>
            </w:r>
          </w:p>
          <w:p>
            <w:pPr>
              <w:spacing w:after="100" w:line="920" w:lineRule="atLeast"/>
              <w:ind w:left="1200"/>
            </w:pPr>
            <w:r>
              <w:rPr>
                <w:rFonts w:ascii="Arial" w:eastAsia="SimHei"/>
                <w:b/>
                <w:bCs/>
                <w:color w:val="FFFFFF"/>
                <w:sz w:val="80"/>
                <w:szCs w:val="80"/>
              </w:rPr>
              <w:t xml:space="preserve">плагина Sentinel-1</w:t>
            </w:r>
          </w:p>
          <w:p>
            <w:pPr>
              <w:spacing w:after="300" w:line="920" w:lineRule="atLeast"/>
              <w:ind w:left="1200"/>
            </w:pPr>
            <w:r>
              <w:rPr>
                <w:rFonts w:ascii="Arial" w:eastAsia="SimHei"/>
                <w:b/>
                <w:bCs/>
                <w:color w:val="FFFFFF"/>
                <w:sz w:val="80"/>
                <w:szCs w:val="80"/>
              </w:rPr>
              <w:t xml:space="preserve">Windthrow Detector</w:t>
            </w:r>
          </w:p>
          <w:p>
            <w:pPr>
              <w:spacing w:after="800" w:line="320" w:lineRule="atLeast"/>
              <w:ind w:left="1200" w:right="800"/>
            </w:pPr>
            <w:r>
              <w:rPr>
                <w:rFonts w:ascii="Arial" w:eastAsia="Microsoft YaHei"/>
                <w:color w:val="B0B8C0"/>
                <w:sz w:val="24"/>
                <w:szCs w:val="24"/>
              </w:rPr>
              <w:t xml:space="preserve">Пошаговая инструкция версии 2.0: бёрст-пары 40 м, маска GFW GFC@Y, когерентность DiD (плагин v1.2.1)</w:t>
            </w:r>
          </w:p>
          <w:p>
            <w:pPr>
              <w:pBdr>
                <w:left w:val="single" w:color="3DDBB5" w:sz="8" w:space="12"/>
              </w:pBdr>
              <w:spacing w:after="80"/>
              <w:ind w:left="1400"/>
            </w:pPr>
            <w:r>
              <w:rPr>
                <w:rFonts w:ascii="Arial" w:eastAsia="Microsoft YaHei"/>
                <w:color w:val="90989F"/>
                <w:sz w:val="24"/>
                <w:szCs w:val="24"/>
              </w:rPr>
              <w:t xml:space="preserve">Документ: Testing Plan v2.0 — замена версии 1.0 (эра v0.7.0)</w:t>
            </w:r>
          </w:p>
          <w:p>
            <w:pPr>
              <w:pBdr>
                <w:left w:val="single" w:color="3DDBB5" w:sz="8" w:space="12"/>
              </w:pBdr>
              <w:spacing w:after="80"/>
              <w:ind w:left="1400"/>
            </w:pPr>
            <w:r>
              <w:rPr>
                <w:rFonts w:ascii="Arial" w:eastAsia="Microsoft YaHei"/>
                <w:color w:val="90989F"/>
                <w:sz w:val="24"/>
                <w:szCs w:val="24"/>
              </w:rPr>
              <w:t xml:space="preserve">Продукт: sentinel1_windthrow_plugin_v1.2.1.zip (144 автотеста)</w:t>
            </w:r>
          </w:p>
          <w:p>
            <w:pPr>
              <w:pBdr>
                <w:left w:val="single" w:color="3DDBB5" w:sz="8" w:space="12"/>
              </w:pBdr>
              <w:spacing w:after="80"/>
              <w:ind w:left="1400"/>
            </w:pPr>
            <w:r>
              <w:rPr>
                <w:rFonts w:ascii="Arial" w:eastAsia="Microsoft YaHei"/>
                <w:color w:val="90989F"/>
                <w:sz w:val="24"/>
                <w:szCs w:val="24"/>
              </w:rPr>
              <w:t xml:space="preserve">Основание: отчёт изд. 9, METHOD.md §3b/§7, ASF Burst InSAR Guide</w:t>
            </w:r>
          </w:p>
          <w:p>
            <w:pPr>
              <w:pBdr>
                <w:left w:val="single" w:color="3DDBB5" w:sz="8" w:space="12"/>
              </w:pBdr>
              <w:spacing w:after="80"/>
              <w:ind w:left="1400"/>
            </w:pPr>
            <w:r>
              <w:rPr>
                <w:rFonts w:ascii="Arial" w:eastAsia="Microsoft YaHei"/>
                <w:color w:val="90989F"/>
                <w:sz w:val="24"/>
                <w:szCs w:val="24"/>
              </w:rPr>
              <w:t xml:space="preserve">Репозиторий: github.com/nadiopt-cell/sar_windthrow</w:t>
            </w:r>
          </w:p>
          <w:p>
            <w:pPr>
              <w:spacing w:before="3588"/>
            </w:pPr>
          </w:p>
          <w:p>
            <w:pPr>
              <w:pBdr>
                <w:top w:val="single" w:color="3DDBB5" w:sz="2" w:space="8"/>
              </w:pBdr>
              <w:spacing w:before="200"/>
              <w:ind w:left="1200" w:right="800"/>
            </w:pPr>
            <w:r>
              <w:rPr>
                <w:rFonts w:ascii="Arial"/>
                <w:color w:val="687078"/>
                <w:sz w:val="16"/>
                <w:szCs w:val="16"/>
              </w:rPr>
              <w:t xml:space="preserve">Проект SAR Windthrow — QGIS-плагин</w:t>
            </w:r>
            <w:r>
              <w:t xml:space="preserve">                                        </w:t>
            </w:r>
            <w:r>
              <w:rPr>
                <w:rFonts w:ascii="Arial"/>
                <w:color w:val="687078"/>
                <w:sz w:val="16"/>
                <w:szCs w:val="16"/>
              </w:rPr>
              <w:t xml:space="preserve">Сентябрь 2026</w:t>
            </w:r>
          </w:p>
        </w:tc>
      </w:tr>
    </w:tbl>
    <w:p>
      <w:pPr>
        <w:sectPr>
          <w:pgSz w:w="11906" w:h="16838" w:orient="portrait"/>
          <w:pgMar w:top="0" w:right="0" w:bottom="0" w:left="0" w:header="708" w:footer="708" w:gutter="0"/>
          <w:docGrid w:linePitch="360"/>
        </w:sectPr>
      </w:pPr>
    </w:p>
    <w:p>
      <w:pPr>
        <w:spacing w:after="360" w:before="240"/>
        <w:jc w:val="center"/>
      </w:pPr>
      <w:r>
        <w:rPr>
          <w:rFonts w:ascii="Arial" w:eastAsia="SimHei"/>
          <w:b/>
          <w:bCs/>
          <w:color w:val="1A4A3C"/>
          <w:sz w:val="32"/>
          <w:szCs w:val="32"/>
        </w:rPr>
        <w:t xml:space="preserve">Аннотация</w:t>
      </w:r>
    </w:p>
    <w:p>
      <w:pPr>
        <w:spacing w:after="80" w:line="312"/>
        <w:ind w:firstLine="709"/>
        <w:jc w:val="both"/>
      </w:pPr>
      <w:r>
        <w:rPr>
          <w:rFonts w:ascii="Times New Roman" w:eastAsia="SimSun"/>
          <w:color w:val="000000"/>
          <w:sz w:val="24"/>
          <w:szCs w:val="24"/>
        </w:rPr>
        <w:t xml:space="preserve">Настоящая инструкция описывает кампанию реального тестирования QGIS-плагина Sentinel-1 Windthrow Detector версии 1.2.1 на реальных данных и заменяет план тестирования версии 1.0, написанный для релиза v0.7.0. За время развития плагин получил три валидированных режима детекции: амплитудный индекс ветровала WI по C-диапазону Sentinel-1, спад обратного рассеяния L-диапазона по ALOS PALSAR и разность когерентностей DiD по продуктам ASF HyP3. Документ доводит пошаговые сценарии до уровня «открыть QGIS — получить результат» для каждого из трёх трактов.</w:t>
      </w:r>
    </w:p>
    <w:p>
      <w:pPr>
        <w:spacing w:after="80" w:line="312"/>
        <w:ind w:firstLine="709"/>
        <w:jc w:val="both"/>
      </w:pPr>
      <w:r>
        <w:rPr>
          <w:rFonts w:ascii="Times New Roman" w:eastAsia="SimSun"/>
          <w:color w:val="000000"/>
          <w:sz w:val="24"/>
          <w:szCs w:val="24"/>
        </w:rPr>
        <w:t xml:space="preserve">Главные новинки, подлежащие проверке в этой кампании: бёрст-пары 40 м (Burst InSAR, позиция дорожной карты v1.2 из отчёта изд. 9), маска леса GFW Hansen GFC, реконструированная на год, предшествующий событию (v1.1, правило эпохи маски), исправленная конвенция водной маски продуктов HyP3 (1 = суша, 0 = вода) и валидация DiD-пары «тот же бёрст». Отдельно описано исправление v1.2.1: источник маски снова доступен в режиме когерентности, что возвращает в графический интерфейс валидированный воркфлоу когерентности с маской GFC@Y (средний DiD-AUC 0,690 на этапе 12c).</w:t>
      </w:r>
    </w:p>
    <w:p>
      <w:pPr>
        <w:spacing w:after="80" w:line="312"/>
        <w:ind w:firstLine="709"/>
        <w:jc w:val="both"/>
      </w:pPr>
      <w:r>
        <w:rPr>
          <w:rFonts w:ascii="Times New Roman" w:eastAsia="SimSun"/>
          <w:color w:val="000000"/>
          <w:sz w:val="24"/>
          <w:szCs w:val="24"/>
        </w:rPr>
        <w:t xml:space="preserve">Эталонной базой служат 12 верифицированных событий 2015–2017 гг. из базы Шихова и др. (ESSD) с известными эталонными метриками: они превращают тестирование в регрессионную проверку — результат нового прогона можно сразу сравнить с табличным значением. Рекомендуемый порядок кампании: дымовой тест и когерентность 80 м в первую неделю, бёрст-пары 40 м во вторую, L-диапазон и свод результатов в третью.</w:t>
      </w:r>
    </w:p>
    <w:p>
      <w:pPr>
        <w:spacing w:after="360" w:before="240"/>
        <w:jc w:val="center"/>
      </w:pPr>
      <w:r>
        <w:rPr>
          <w:rFonts w:ascii="Arial" w:eastAsia="SimHei"/>
          <w:b/>
          <w:bCs/>
          <w:color w:val="1A4A3C"/>
          <w:sz w:val="32"/>
          <w:szCs w:val="32"/>
        </w:rPr>
        <w:t xml:space="preserve">Содержание</w:t>
      </w:r>
    </w:p>
    <w:sdt>
      <w:sdtPr>
        <w:alias w:val="Оглавление"/>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Назначение документа и что изменилось с версии 1.0</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Подготовка окружения</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Установка плагина и регрессия v1.2.1</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Учётные записи, кредиты и данные</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Юнит-тесты (T0)</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Дымовой тест в QGIS (T1)</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4. Основной тракт: когерентность DiD на полных кадрах 80 м (T2-C)</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4.1. Данные и схема пар</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4.2. Настройка вкладки детекции</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4.3. Запуск, выходы и диагностика</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4.4. Ожидания и критерии успеха</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5. Бёрст-пары 40 м (T2-B) — главный тест кампании</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5.1. Когда нужен бёрст</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5.2. Заказ в Vertex</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5.3. Настройка плагина и валидация пары</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5.4. Критерии успеха</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6. Подтверждающий тракт: L-диапазон PALSAR (T2-L)</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7. Референсный тракт: амплитудный WI (T2-W)</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8. Регрессионные проверки v1.2</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9. Реестр ложных тревог и грабель</w:t>
            </w:r>
            <w:r>
              <w:tab/>
            </w:r>
            <w:r>
              <w:fldChar w:fldCharType="begin"/>
            </w:r>
            <w:r>
              <w:instrText xml:space="preserve"> PAGEREF _Toc100019 \h </w:instrText>
            </w:r>
            <w:r>
              <w:fldChar w:fldCharType="separate"/>
            </w:r>
            <w:r>
              <w:t>9</w:t>
            </w:r>
            <w:r>
              <w:fldChar w:fldCharType="end"/>
            </w:r>
          </w:hyperlink>
        </w:p>
        <w:p>
          <w:pPr>
            <w:pStyle w:val="9"/>
            <w:tabs>
              <w:tab w:val="right" w:leader="dot" w:pos="9026"/>
            </w:tabs>
            <w:spacing w:before="120" w:after="60"/>
          </w:pPr>
          <w:hyperlink w:anchor="_Toc100020" w:history="1">
            <w:r>
              <w:rPr>
                <w:rStyle w:val="Hyperlink"/>
              </w:rPr>
              <w:t>10. Фиксация результатов и порядок кампании</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10.1. Форма по кейсу</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10.2. План кампании</w:t>
            </w:r>
            <w:r>
              <w:tab/>
            </w:r>
            <w:r>
              <w:fldChar w:fldCharType="begin"/>
            </w:r>
            <w:r>
              <w:instrText xml:space="preserve"> PAGEREF _Toc100022 \h </w:instrText>
            </w:r>
            <w:r>
              <w:fldChar w:fldCharType="separate"/>
            </w:r>
            <w:r>
              <w:t>11</w:t>
            </w:r>
            <w:r>
              <w:fldChar w:fldCharType="end"/>
            </w:r>
          </w:hyperlink>
        </w:p>
        <w:p>
          <w:pPr>
            <w:pStyle w:val="9"/>
            <w:tabs>
              <w:tab w:val="right" w:leader="dot" w:pos="9026"/>
            </w:tabs>
            <w:spacing w:before="120" w:after="60"/>
          </w:pPr>
          <w:hyperlink w:anchor="_Toc100023" w:history="1">
            <w:r>
              <w:rPr>
                <w:rStyle w:val="Hyperlink"/>
              </w:rPr>
              <w:t>Приложение А. Валидированные параметры</w:t>
            </w:r>
            <w:r>
              <w:tab/>
            </w:r>
            <w:r>
              <w:fldChar w:fldCharType="begin"/>
            </w:r>
            <w:r>
              <w:instrText xml:space="preserve"> PAGEREF _Toc100023 \h </w:instrText>
            </w:r>
            <w:r>
              <w:fldChar w:fldCharType="separate"/>
            </w:r>
            <w:r>
              <w:t>11</w:t>
            </w:r>
            <w:r>
              <w:fldChar w:fldCharType="end"/>
            </w:r>
          </w:hyperlink>
        </w:p>
        <w:p>
          <w:pPr>
            <w:pStyle w:val="9"/>
            <w:tabs>
              <w:tab w:val="right" w:leader="dot" w:pos="9026"/>
            </w:tabs>
            <w:spacing w:before="120" w:after="60"/>
          </w:pPr>
          <w:hyperlink w:anchor="_Toc100024" w:history="1">
            <w:r>
              <w:rPr>
                <w:rStyle w:val="Hyperlink"/>
              </w:rPr>
              <w:t>Приложение Б. Референсные метрики 12 событий</w:t>
            </w:r>
            <w:r>
              <w:tab/>
            </w:r>
            <w:r>
              <w:fldChar w:fldCharType="begin"/>
            </w:r>
            <w:r>
              <w:instrText xml:space="preserve"> PAGEREF _Toc100024 \h </w:instrText>
            </w:r>
            <w:r>
              <w:fldChar w:fldCharType="separate"/>
            </w:r>
            <w:r>
              <w:t>12</w:t>
            </w:r>
            <w:r>
              <w:fldChar w:fldCharType="end"/>
            </w:r>
          </w:hyperlink>
        </w:p>
        <w:p>
          <w:r>
            <w:fldChar w:fldCharType="end"/>
          </w:r>
        </w:p>
      </w:sdtContent>
    </w:sdt>
    <w:p>
      <w:pPr>
        <w:spacing w:before="200"/>
      </w:pPr>
      <w:r>
        <w:rPr>
          <w:rFonts w:ascii="Times New Roman" w:eastAsia="SimSun"/>
          <w:i/>
          <w:iCs/>
          <w:color w:val="888888"/>
          <w:sz w:val="18"/>
          <w:szCs w:val="18"/>
        </w:rPr>
        <w:t xml:space="preserve">Примечание: оглавление построено на полях Word. После редактирования документа щёлкните по оглавлению правой кнопкой мыши и выберите «Обновить поле» для актуализации номеров страниц.</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Arial" w:eastAsia="SimHei"/>
          <w:b/>
          <w:bCs/>
          <w:color w:val="1A4A3C"/>
          <w:sz w:val="32"/>
          <w:szCs w:val="32"/>
        </w:rPr>
        <w:t xml:space="preserve">1. Назначение документа и что изменилось с версии 1.0</w:t>
      </w:r>
      <w:bookmarkEnd w:id="100000"/>
    </w:p>
    <w:p>
      <w:pPr>
        <w:spacing w:after="80" w:line="312"/>
        <w:ind w:firstLine="709"/>
        <w:jc w:val="both"/>
      </w:pPr>
      <w:r>
        <w:rPr>
          <w:rFonts w:ascii="Times New Roman" w:eastAsia="SimSun"/>
          <w:color w:val="000000"/>
          <w:sz w:val="24"/>
          <w:szCs w:val="24"/>
        </w:rPr>
        <w:t xml:space="preserve">Инструкция v1.0 сопровождала единственный тогда режим плагина — амплитудный индекс ветровала WI — и оперировала абстрактным выбором тестового события из эталонной базы. С тех пор плагин прошёл путь до v1.2.1: добавлены нормализация фона (v0.8), маски леса WorldCover и GFW Hansen GFC (v0.9/v1.1), режимы L-диапазона и когерентности DiD (v1.0), поддержка бёрст-пар и исправление водной маски (v1.2), восстановление доступа к маске GFC в режиме когерентности (v1.2.1). Число автотестов выросло с 72 до 144. Соответствие старых и новых уровней тестирования приведено в таблице 1.</w:t>
      </w:r>
    </w:p>
    <w:p>
      <w:pPr>
        <w:keepNext/>
        <w:spacing w:after="100" w:before="160" w:line="312"/>
        <w:jc w:val="left"/>
      </w:pPr>
      <w:r>
        <w:rPr>
          <w:rFonts w:ascii="Arial" w:eastAsia="SimHei"/>
          <w:b/>
          <w:bCs/>
          <w:color w:val="1A4A3C"/>
          <w:sz w:val="21"/>
          <w:szCs w:val="21"/>
        </w:rPr>
        <w:t xml:space="preserve">Таблица 1. Соответствие уровней плана v1.0 и плана v2.0</w:t>
      </w:r>
    </w:p>
    <w:tbl>
      <w:tblPr>
        <w:tblW w:type="pct" w:w="100%"/>
        <w:tblBorders>
          <w:top w:val="single" w:color="2A7A65" w:sz="6"/>
          <w:left w:val="none" w:color="FFFFFF" w:sz="0"/>
          <w:bottom w:val="single" w:color="2A7A65" w:sz="6"/>
          <w:right w:val="none" w:color="FFFFFF" w:sz="0"/>
          <w:insideH w:val="single" w:color="C5D8D0" w:sz="2"/>
          <w:insideV w:val="single" w:color="C5D8D0" w:sz="2"/>
        </w:tblBorders>
      </w:tblPr>
      <w:tblGrid>
        <w:gridCol w:w="100"/>
        <w:gridCol w:w="100"/>
        <w:gridCol w:w="100"/>
      </w:tblGrid>
      <w:tr>
        <w:trPr>
          <w:cantSplit/>
          <w:tblHeader/>
        </w:trPr>
        <w:tc>
          <w:tcPr>
            <w:tcW w:type="pct" w:w="16%"/>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Уровень</w:t>
            </w:r>
          </w:p>
        </w:tc>
        <w:tc>
          <w:tcPr>
            <w:tcW w:type="pct" w:w="40%"/>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Было (v1.0, для v0.7.0)</w:t>
            </w:r>
          </w:p>
        </w:tc>
        <w:tc>
          <w:tcPr>
            <w:tcW w:type="pct" w:w="44%"/>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Стало (v2.0, для v1.2.1)</w:t>
            </w:r>
          </w:p>
        </w:tc>
      </w:tr>
      <w:tr>
        <w:trPr>
          <w:cantSplit/>
        </w:trPr>
        <w:tc>
          <w:tcPr>
            <w:tcW w:type="pct" w:w="1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T0</w:t>
            </w:r>
          </w:p>
        </w:tc>
        <w:tc>
          <w:tcPr>
            <w:tcW w:type="pct" w:w="4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72 юнит-теста</w:t>
            </w:r>
          </w:p>
        </w:tc>
        <w:tc>
          <w:tcPr>
            <w:tcW w:type="pct" w:w="4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144 юнит-теста: + GFC-маска, бёрст-пары, водная маска</w:t>
            </w:r>
          </w:p>
        </w:tc>
      </w:tr>
      <w:tr>
        <w:trPr>
          <w:cantSplit/>
        </w:trPr>
        <w:tc>
          <w:tcPr>
            <w:tcW w:type="pct" w:w="1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T1</w:t>
            </w:r>
          </w:p>
        </w:tc>
        <w:tc>
          <w:tcPr>
            <w:tcW w:type="pct" w:w="4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Smoke: Search, Preprocess, WI</w:t>
            </w:r>
          </w:p>
        </w:tc>
        <w:tc>
          <w:tcPr>
            <w:tcW w:type="pct" w:w="4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 проверка вкладки когерентности, GFC-маски и версии About 1.2.1</w:t>
            </w:r>
          </w:p>
        </w:tc>
      </w:tr>
      <w:tr>
        <w:trPr>
          <w:cantSplit/>
        </w:trPr>
        <w:tc>
          <w:tcPr>
            <w:tcW w:type="pct" w:w="1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T2</w:t>
            </w:r>
          </w:p>
        </w:tc>
        <w:tc>
          <w:tcPr>
            <w:tcW w:type="pct" w:w="4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WI-детекция с оценкой PA/UA</w:t>
            </w:r>
          </w:p>
        </w:tc>
        <w:tc>
          <w:tcPr>
            <w:tcW w:type="pct" w:w="4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Три тракта: T2-C когерентность 80 м (основной), T2-B бёрст-пары 40 м (новое), T2-L PALSAR; WI — референсный T2-W</w:t>
            </w:r>
          </w:p>
        </w:tc>
      </w:tr>
      <w:tr>
        <w:trPr>
          <w:cantSplit/>
        </w:trPr>
        <w:tc>
          <w:tcPr>
            <w:tcW w:type="pct" w:w="1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T3</w:t>
            </w:r>
          </w:p>
        </w:tc>
        <w:tc>
          <w:tcPr>
            <w:tcW w:type="pct" w:w="4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Сетка a/n для WI</w:t>
            </w:r>
          </w:p>
        </w:tc>
        <w:tc>
          <w:tcPr>
            <w:tcW w:type="pct" w:w="4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 сетки a_coh и min_pixels для когерентности</w:t>
            </w:r>
          </w:p>
        </w:tc>
      </w:tr>
      <w:tr>
        <w:trPr>
          <w:cantSplit/>
        </w:trPr>
        <w:tc>
          <w:tcPr>
            <w:tcW w:type="pct" w:w="1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Эталон</w:t>
            </w:r>
          </w:p>
        </w:tc>
        <w:tc>
          <w:tcPr>
            <w:tcW w:type="pct" w:w="4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«Выбрать событие из базы»</w:t>
            </w:r>
          </w:p>
        </w:tc>
        <w:tc>
          <w:tcPr>
            <w:tcW w:type="pct" w:w="4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12 верифицированных событий с эталонными AUC (приложение Б)</w:t>
            </w:r>
          </w:p>
        </w:tc>
      </w:tr>
    </w:tbl>
    <w:p>
      <w:pPr>
        <w:spacing w:after="120" w:line="312"/>
        <w:ind w:firstLine="709"/>
        <w:jc w:val="both"/>
      </w:pPr>
      <w:r>
        <w:rPr>
          <w:rFonts w:ascii="Times New Roman" w:eastAsia="SimSun"/>
          <w:color w:val="000000"/>
          <w:sz w:val="24"/>
          <w:szCs w:val="24"/>
        </w:rPr>
        <w:t xml:space="preserve">Два вывода валидации изменили приоритеты. Во-первых, амплитудный C-диапазон на лесных событиях Европейской России не детектирует ветровал ни летом, ни в листопад: на кейсе ID666 AUC всех линейных индексов составил 0,49–0,51, а точность пользователя 0,024 — влажный фон растёт сильнее завала. Во-вторых, рабочий сигнал дают когерентность с DiD-метрикой (средний AUC 0,690 на семи событиях этапа 12c против 0,642 у одиночной пары, максимум 0,928) и L-диапазон (invAUC до 0,905). Поэтому основной объём реального тестирования переносится на когерентный тракт, а WI сохраняется как референс и инструмент мониторинга.</w:t>
      </w:r>
    </w:p>
    <w:p>
      <w:pPr>
        <w:pStyle w:val="Heading1"/>
        <w:spacing w:after="160" w:before="360" w:line="312"/>
      </w:pPr>
      <w:bookmarkStart w:id="100001" w:name="_Toc100001"/>
      <w:r>
        <w:rPr>
          <w:rFonts w:ascii="Arial" w:eastAsia="SimHei"/>
          <w:b/>
          <w:bCs/>
          <w:color w:val="1A4A3C"/>
          <w:sz w:val="32"/>
          <w:szCs w:val="32"/>
        </w:rPr>
        <w:t xml:space="preserve">2. Подготовка окружения</w:t>
      </w:r>
      <w:bookmarkEnd w:id="100001"/>
    </w:p>
    <w:p>
      <w:pPr>
        <w:pStyle w:val="Heading2"/>
        <w:spacing w:after="120" w:before="240" w:line="312"/>
      </w:pPr>
      <w:bookmarkStart w:id="100002" w:name="_Toc100002"/>
      <w:r>
        <w:rPr>
          <w:rFonts w:ascii="Arial" w:eastAsia="SimHei"/>
          <w:b/>
          <w:bCs/>
          <w:color w:val="1A4A3C"/>
          <w:sz w:val="28"/>
          <w:szCs w:val="28"/>
        </w:rPr>
        <w:t xml:space="preserve">2.1. Установка плагина и регрессия v1.2.1</w:t>
      </w:r>
      <w:bookmarkEnd w:id="100002"/>
    </w:p>
    <w:p>
      <w:pPr>
        <w:spacing w:after="80" w:line="312"/>
        <w:ind w:firstLine="709"/>
        <w:jc w:val="both"/>
      </w:pPr>
      <w:r>
        <w:rPr>
          <w:rFonts w:ascii="Times New Roman" w:eastAsia="SimSun"/>
          <w:color w:val="000000"/>
          <w:sz w:val="24"/>
          <w:szCs w:val="24"/>
        </w:rPr>
        <w:t xml:space="preserve">Требуется QGIS 3.28 или новее; все зависимости (numpy, scipy, GDAL) входят в поставку QGIS, устанавливать пакеты через pip не нужно. Для работы необходим интернет: поиск и загрузка снимков идут через Planetary Computer, а слои Hansen GFC читаются по /vsicurl/ без аутентификации. Установка выполняется за четыре шага.</w:t>
      </w:r>
    </w:p>
    <w:p>
      <w:pPr>
        <w:pStyle w:val="ListParagraph"/>
        <w:numPr>
          <w:ilvl w:val="0"/>
          <w:numId w:val="2"/>
        </w:numPr>
        <w:spacing w:after="80" w:line="312"/>
        <w:jc w:val="left"/>
      </w:pPr>
      <w:r>
        <w:rPr>
          <w:rFonts w:ascii="Times New Roman" w:eastAsia="SimSun"/>
          <w:color w:val="000000"/>
          <w:sz w:val="24"/>
          <w:szCs w:val="24"/>
        </w:rPr>
        <w:t xml:space="preserve">Открыть Модули → Manage and Install Plugins → Install from ZIP.</w:t>
      </w:r>
    </w:p>
    <w:p>
      <w:pPr>
        <w:pStyle w:val="ListParagraph"/>
        <w:numPr>
          <w:ilvl w:val="0"/>
          <w:numId w:val="2"/>
        </w:numPr>
        <w:spacing w:after="80" w:line="312"/>
        <w:jc w:val="left"/>
      </w:pPr>
      <w:r>
        <w:rPr>
          <w:rFonts w:ascii="Times New Roman" w:eastAsia="SimSun"/>
          <w:color w:val="000000"/>
          <w:sz w:val="24"/>
          <w:szCs w:val="24"/>
        </w:rPr>
        <w:t xml:space="preserve">Выбрать plugin_dist/sentinel1_windthrow_plugin_v1.2.1.zip (копия — в каталоге download репозитория).</w:t>
      </w:r>
    </w:p>
    <w:p>
      <w:pPr>
        <w:pStyle w:val="ListParagraph"/>
        <w:numPr>
          <w:ilvl w:val="0"/>
          <w:numId w:val="2"/>
        </w:numPr>
        <w:spacing w:after="80" w:line="312"/>
        <w:jc w:val="left"/>
      </w:pPr>
      <w:r>
        <w:rPr>
          <w:rFonts w:ascii="Times New Roman" w:eastAsia="SimSun"/>
          <w:color w:val="000000"/>
          <w:sz w:val="24"/>
          <w:szCs w:val="24"/>
        </w:rPr>
        <w:t xml:space="preserve">Проверить версию: меню Plugins → Sentinel-1 Windthrow → About → строка «Version 1.2.1».</w:t>
      </w:r>
    </w:p>
    <w:p>
      <w:pPr>
        <w:pStyle w:val="ListParagraph"/>
        <w:numPr>
          <w:ilvl w:val="0"/>
          <w:numId w:val="2"/>
        </w:numPr>
        <w:spacing w:after="80" w:line="312"/>
        <w:jc w:val="left"/>
      </w:pPr>
      <w:r>
        <w:rPr>
          <w:rFonts w:ascii="Times New Roman" w:eastAsia="SimSun"/>
          <w:color w:val="000000"/>
          <w:sz w:val="24"/>
          <w:szCs w:val="24"/>
        </w:rPr>
        <w:t xml:space="preserve">Регрессия v1.2.1: вкладка Windthrow Detection → Detection method = </w:t>
      </w:r>
      <w:r>
        <w:rPr>
          <w:rFonts w:ascii="Times New Roman" w:eastAsia="SimSun"/>
          <w:b/>
          <w:bCs/>
          <w:color w:val="000000"/>
          <w:sz w:val="24"/>
          <w:szCs w:val="24"/>
        </w:rPr>
        <w:t xml:space="preserve">Coherence DiD</w:t>
      </w:r>
      <w:r>
        <w:rPr>
          <w:rFonts w:ascii="Times New Roman" w:eastAsia="SimSun"/>
          <w:color w:val="000000"/>
          <w:sz w:val="24"/>
          <w:szCs w:val="24"/>
        </w:rPr>
        <w:t xml:space="preserve"> → включить «Restrict detection to forest mask» → в списке Mask source должны быть доступны «GFW Hansen GFC» и «Custom file». До v1.2.1 комбобокс сбрасывался в «Custom file» и блокировался, и валидированный воркфлоу когерентности с маской GFC@Y был из интерфейса недостижим.</w:t>
      </w:r>
    </w:p>
    <w:p>
      <w:pPr>
        <w:pStyle w:val="Heading2"/>
        <w:spacing w:after="120" w:before="240" w:line="312"/>
      </w:pPr>
      <w:bookmarkStart w:id="100003" w:name="_Toc100003"/>
      <w:r>
        <w:rPr>
          <w:rFonts w:ascii="Arial" w:eastAsia="SimHei"/>
          <w:b/>
          <w:bCs/>
          <w:color w:val="1A4A3C"/>
          <w:sz w:val="28"/>
          <w:szCs w:val="28"/>
        </w:rPr>
        <w:t xml:space="preserve">2.2. Учётные записи, кредиты и данные</w:t>
      </w:r>
      <w:bookmarkEnd w:id="100003"/>
    </w:p>
    <w:p>
      <w:pPr>
        <w:spacing w:after="80" w:line="312"/>
        <w:ind w:firstLine="709"/>
        <w:jc w:val="both"/>
      </w:pPr>
      <w:r>
        <w:rPr>
          <w:rFonts w:ascii="Times New Roman" w:eastAsia="SimSun"/>
          <w:color w:val="000000"/>
          <w:sz w:val="24"/>
          <w:szCs w:val="24"/>
        </w:rPr>
        <w:t xml:space="preserve">Для заказов в ASF HyP3 нужны бесплатная учётная запись Earthdata Login и доступ к ASF Vertex. Тариф Basic даёт 8000 кредитов ежемесячно; полная пара INSAR-GAMMA 80 м стоит 10 кредитов, заказ бёрст-пар — 1 кредит на заказ из 1–4 пар, то есть связка «prepost + контроль» на бёрстах обходится примерно в десять раз дешевле, чем на полных кадрах. После волны-2 на счету оставалось 7710 кредитов. Важно: готовые продукты HyP3 хранятся ограниченное время (наши — до 17.09 и начала октября 2026), поэтому скачанные ZIP-архивы (~1,5 ГБ на событие) следует сразу переносить в локальный архив.</w:t>
      </w:r>
    </w:p>
    <w:p>
      <w:pPr>
        <w:keepNext/>
        <w:spacing w:after="100" w:before="160" w:line="312"/>
        <w:jc w:val="left"/>
      </w:pPr>
      <w:r>
        <w:rPr>
          <w:rFonts w:ascii="Arial" w:eastAsia="SimHei"/>
          <w:b/>
          <w:bCs/>
          <w:color w:val="1A4A3C"/>
          <w:sz w:val="21"/>
          <w:szCs w:val="21"/>
        </w:rPr>
        <w:t xml:space="preserve">Таблица 2. Ресурсы кампании</w:t>
      </w:r>
    </w:p>
    <w:tbl>
      <w:tblPr>
        <w:tblW w:type="pct" w:w="100%"/>
        <w:tblBorders>
          <w:top w:val="single" w:color="2A7A65" w:sz="6"/>
          <w:left w:val="none" w:color="FFFFFF" w:sz="0"/>
          <w:bottom w:val="single" w:color="2A7A65" w:sz="6"/>
          <w:right w:val="none" w:color="FFFFFF" w:sz="0"/>
          <w:insideH w:val="single" w:color="C5D8D0" w:sz="2"/>
          <w:insideV w:val="single" w:color="C5D8D0" w:sz="2"/>
        </w:tblBorders>
      </w:tblPr>
      <w:tblGrid>
        <w:gridCol w:w="100"/>
        <w:gridCol w:w="100"/>
        <w:gridCol w:w="100"/>
      </w:tblGrid>
      <w:tr>
        <w:trPr>
          <w:cantSplit/>
          <w:tblHeader/>
        </w:trPr>
        <w:tc>
          <w:tcPr>
            <w:tcW w:type="pct" w:w="30%"/>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Ресурс</w:t>
            </w:r>
          </w:p>
        </w:tc>
        <w:tc>
          <w:tcPr>
            <w:tcW w:type="pct" w:w="30%"/>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Назначение</w:t>
            </w:r>
          </w:p>
        </w:tc>
        <w:tc>
          <w:tcPr>
            <w:tcW w:type="pct" w:w="40%"/>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Примечание</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Earthdata Login</w:t>
            </w:r>
          </w:p>
        </w:tc>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Доступ к ASF</w:t>
            </w:r>
          </w:p>
        </w:tc>
        <w:tc>
          <w:tcPr>
            <w:tcW w:type="pct" w:w="4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urs.earthdata.nasa.gov, бесплатная регистрация</w:t>
            </w:r>
          </w:p>
        </w:tc>
      </w:tr>
      <w:tr>
        <w:trPr>
          <w:cantSplit/>
        </w:trPr>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ASF Vertex</w:t>
            </w:r>
          </w:p>
        </w:tc>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Заказ HyP3 INSAR</w:t>
            </w:r>
          </w:p>
        </w:tc>
        <w:tc>
          <w:tcPr>
            <w:tcW w:type="pct" w:w="4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8000 кр/мес; INSAR-GAMMA 10 кр/пара; burst 1 кр на 1–4 пары</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Продукты HyP3</w:t>
            </w:r>
          </w:p>
        </w:tc>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Режим coh_delta</w:t>
            </w:r>
          </w:p>
        </w:tc>
        <w:tc>
          <w:tcPr>
            <w:tcW w:type="pct" w:w="4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Истекают ~30 дней — скачивать сразу</w:t>
            </w:r>
          </w:p>
        </w:tc>
      </w:tr>
      <w:tr>
        <w:trPr>
          <w:cantSplit/>
        </w:trPr>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База Шихова и др. 2020</w:t>
            </w:r>
          </w:p>
        </w:tc>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Эталон PA/UA и AUC</w:t>
            </w:r>
          </w:p>
        </w:tc>
        <w:tc>
          <w:tcPr>
            <w:tcW w:type="pct" w:w="4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CSV в data/shikhov_csv/; figshare DOI 10.6084/m9.figshare.12073278</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12 верифицированных событий</w:t>
            </w:r>
          </w:p>
        </w:tc>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Регрессионный эталон</w:t>
            </w:r>
          </w:p>
        </w:tc>
        <w:tc>
          <w:tcPr>
            <w:tcW w:type="pct" w:w="4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gis/windthrow_sites_map_gfw_2026-09-04_v3.geojson; детекции — gis/detections_gpkg/</w:t>
            </w:r>
          </w:p>
        </w:tc>
      </w:tr>
    </w:tbl>
    <w:p>
      <w:pPr>
        <w:pStyle w:val="Heading2"/>
        <w:spacing w:after="120" w:before="240" w:line="312"/>
      </w:pPr>
      <w:bookmarkStart w:id="100004" w:name="_Toc100004"/>
      <w:r>
        <w:rPr>
          <w:rFonts w:ascii="Arial" w:eastAsia="SimHei"/>
          <w:b/>
          <w:bCs/>
          <w:color w:val="1A4A3C"/>
          <w:sz w:val="28"/>
          <w:szCs w:val="28"/>
        </w:rPr>
        <w:t xml:space="preserve">2.3. Юнит-тесты (T0)</w:t>
      </w:r>
      <w:bookmarkEnd w:id="100004"/>
    </w:p>
    <w:p>
      <w:pPr>
        <w:spacing w:after="80" w:line="312"/>
        <w:ind w:firstLine="709"/>
        <w:jc w:val="both"/>
      </w:pPr>
      <w:r>
        <w:rPr>
          <w:rFonts w:ascii="Times New Roman" w:eastAsia="SimSun"/>
          <w:color w:val="000000"/>
          <w:sz w:val="24"/>
          <w:szCs w:val="24"/>
        </w:rPr>
        <w:t xml:space="preserve">Автотесты запускаются из папки, в которой лежит каталог sentinel1_windthrow_plugin, командой python -m pytest tests -v. Ожидается 144 прохождения. Интерпретатор должен видеть GDAL: в QGIS-окружении он есть всегда, а на «голом» python без GDAL файловые тесты пропускаются, и один тест — test_find_correlation_tif_zip_without_corr_raises — даёт ложный сбой (RuntimeError вместо FileNotFoundError). Это свойство среды, а не дефект кода: если pytest зелёный на python с GDAL, сборка исправна.</w:t>
      </w:r>
    </w:p>
    <w:p>
      <w:pPr>
        <w:pStyle w:val="Heading1"/>
        <w:spacing w:after="160" w:before="360" w:line="312"/>
      </w:pPr>
      <w:bookmarkStart w:id="100005" w:name="_Toc100005"/>
      <w:r>
        <w:rPr>
          <w:rFonts w:ascii="Arial" w:eastAsia="SimHei"/>
          <w:b/>
          <w:bCs/>
          <w:color w:val="1A4A3C"/>
          <w:sz w:val="32"/>
          <w:szCs w:val="32"/>
        </w:rPr>
        <w:t xml:space="preserve">3. Дымовой тест в QGIS (T1)</w:t>
      </w:r>
      <w:bookmarkEnd w:id="100005"/>
    </w:p>
    <w:p>
      <w:pPr>
        <w:spacing w:after="80" w:line="312"/>
        <w:ind w:firstLine="709"/>
        <w:jc w:val="both"/>
      </w:pPr>
      <w:r>
        <w:rPr>
          <w:rFonts w:ascii="Times New Roman" w:eastAsia="SimSun"/>
          <w:color w:val="000000"/>
          <w:sz w:val="24"/>
          <w:szCs w:val="24"/>
        </w:rPr>
        <w:t xml:space="preserve">Дымовой тест проверяет работоспособность всех вкладок на лёгком сценарии без шторма и занимает 0,5–1 час. Он же закрепляет привычный цикл «поиск — загрузка — препроцессинг — детекция», на который опираются основные тракты. Выполняется последовательность из семи шагов.</w:t>
      </w:r>
    </w:p>
    <w:p>
      <w:pPr>
        <w:pStyle w:val="ListParagraph"/>
        <w:numPr>
          <w:ilvl w:val="0"/>
          <w:numId w:val="3"/>
        </w:numPr>
        <w:spacing w:after="80" w:line="312"/>
        <w:jc w:val="left"/>
      </w:pPr>
      <w:r>
        <w:rPr>
          <w:rFonts w:ascii="Times New Roman" w:eastAsia="SimSun"/>
          <w:color w:val="000000"/>
          <w:sz w:val="24"/>
          <w:szCs w:val="24"/>
        </w:rPr>
        <w:t xml:space="preserve">Установить ZIP (п. 2.1), убедиться, что появились тулбар и меню Plugins → Sentinel-1 Windthrow.</w:t>
      </w:r>
    </w:p>
    <w:p>
      <w:pPr>
        <w:pStyle w:val="ListParagraph"/>
        <w:numPr>
          <w:ilvl w:val="0"/>
          <w:numId w:val="3"/>
        </w:numPr>
        <w:spacing w:after="80" w:line="312"/>
        <w:jc w:val="left"/>
      </w:pPr>
      <w:r>
        <w:rPr>
          <w:rFonts w:ascii="Times New Roman" w:eastAsia="SimSun"/>
          <w:color w:val="000000"/>
          <w:sz w:val="24"/>
          <w:szCs w:val="24"/>
        </w:rPr>
        <w:t xml:space="preserve">Задать AOI 20×20 км на знакомом лесном районе кнопкой «Draw on map».</w:t>
      </w:r>
    </w:p>
    <w:p>
      <w:pPr>
        <w:pStyle w:val="ListParagraph"/>
        <w:numPr>
          <w:ilvl w:val="0"/>
          <w:numId w:val="3"/>
        </w:numPr>
        <w:spacing w:after="80" w:line="312"/>
        <w:jc w:val="left"/>
      </w:pPr>
      <w:r>
        <w:rPr>
          <w:rFonts w:ascii="Times New Roman" w:eastAsia="SimSun"/>
          <w:color w:val="000000"/>
          <w:sz w:val="24"/>
          <w:szCs w:val="24"/>
        </w:rPr>
        <w:t xml:space="preserve">Search &amp; Download: продукт RTC, одно направление орбиты, две даты без шторма; проверить ход загрузки, отмену и докачку.</w:t>
      </w:r>
    </w:p>
    <w:p>
      <w:pPr>
        <w:pStyle w:val="ListParagraph"/>
        <w:numPr>
          <w:ilvl w:val="0"/>
          <w:numId w:val="3"/>
        </w:numPr>
        <w:spacing w:after="80" w:line="312"/>
        <w:jc w:val="left"/>
      </w:pPr>
      <w:r>
        <w:rPr>
          <w:rFonts w:ascii="Times New Roman" w:eastAsia="SimSun"/>
          <w:color w:val="000000"/>
          <w:sz w:val="24"/>
          <w:szCs w:val="24"/>
        </w:rPr>
        <w:t xml:space="preserve">Preprocess: конверсия в дБ + фильтр Ли с ядром 5.</w:t>
      </w:r>
    </w:p>
    <w:p>
      <w:pPr>
        <w:pStyle w:val="ListParagraph"/>
        <w:numPr>
          <w:ilvl w:val="0"/>
          <w:numId w:val="3"/>
        </w:numPr>
        <w:spacing w:after="80" w:line="312"/>
        <w:jc w:val="left"/>
      </w:pPr>
      <w:r>
        <w:rPr>
          <w:rFonts w:ascii="Times New Roman" w:eastAsia="SimSun"/>
          <w:color w:val="000000"/>
          <w:sz w:val="24"/>
          <w:szCs w:val="24"/>
        </w:rPr>
        <w:t xml:space="preserve">Windthrow Detection: метод </w:t>
      </w:r>
      <w:r>
        <w:rPr>
          <w:rFonts w:ascii="Times New Roman" w:eastAsia="SimSun"/>
          <w:b/>
          <w:bCs/>
          <w:color w:val="000000"/>
          <w:sz w:val="24"/>
          <w:szCs w:val="24"/>
        </w:rPr>
        <w:t xml:space="preserve">Sentinel-1 C-band WI</w:t>
      </w:r>
      <w:r>
        <w:rPr>
          <w:rFonts w:ascii="Times New Roman" w:eastAsia="SimSun"/>
          <w:color w:val="000000"/>
          <w:sz w:val="24"/>
          <w:szCs w:val="24"/>
        </w:rPr>
        <w:t xml:space="preserve">, адаптивный порог a = 2,9 дБ, медианный фильтр 3×3, минимум 27 пикселей → Run.</w:t>
      </w:r>
    </w:p>
    <w:p>
      <w:pPr>
        <w:pStyle w:val="ListParagraph"/>
        <w:numPr>
          <w:ilvl w:val="0"/>
          <w:numId w:val="3"/>
        </w:numPr>
        <w:spacing w:after="80" w:line="312"/>
        <w:jc w:val="left"/>
      </w:pPr>
      <w:r>
        <w:rPr>
          <w:rFonts w:ascii="Times New Roman" w:eastAsia="SimSun"/>
          <w:color w:val="000000"/>
          <w:sz w:val="24"/>
          <w:szCs w:val="24"/>
        </w:rPr>
        <w:t xml:space="preserve">Убедиться, что на карту загружаются _wi.tif (или _wi_norm.tif), _mask.tif и GeoPackage с атрибутом area_ha.</w:t>
      </w:r>
    </w:p>
    <w:p>
      <w:pPr>
        <w:pStyle w:val="ListParagraph"/>
        <w:numPr>
          <w:ilvl w:val="0"/>
          <w:numId w:val="3"/>
        </w:numPr>
        <w:spacing w:after="80" w:line="312"/>
        <w:jc w:val="left"/>
      </w:pPr>
      <w:r>
        <w:rPr>
          <w:rFonts w:ascii="Times New Roman" w:eastAsia="SimSun"/>
          <w:color w:val="000000"/>
          <w:sz w:val="24"/>
          <w:szCs w:val="24"/>
        </w:rPr>
        <w:t xml:space="preserve">Маска: источник </w:t>
      </w:r>
      <w:r>
        <w:rPr>
          <w:rFonts w:ascii="Times New Roman" w:eastAsia="SimSun"/>
          <w:b/>
          <w:bCs/>
          <w:color w:val="000000"/>
          <w:sz w:val="24"/>
          <w:szCs w:val="24"/>
        </w:rPr>
        <w:t xml:space="preserve">GFW Hansen GFC</w:t>
      </w:r>
      <w:r>
        <w:rPr>
          <w:rFonts w:ascii="Times New Roman" w:eastAsia="SimSun"/>
          <w:color w:val="000000"/>
          <w:sz w:val="24"/>
          <w:szCs w:val="24"/>
        </w:rPr>
        <w:t xml:space="preserve">, год события — год пост-даты; убедиться, что строятся файлы _forest_gfc&lt;Y&gt;.tif. Чтение слоёв GFC по /vsicurl/ занимает около 40 с на слой на окно 1° — это ожидаемое поведение, а не зависание.</w:t>
      </w:r>
    </w:p>
    <w:p>
      <w:pPr>
        <w:spacing w:after="80" w:line="312"/>
        <w:ind w:firstLine="709"/>
        <w:jc w:val="both"/>
      </w:pPr>
      <w:r>
        <w:rPr>
          <w:rFonts w:ascii="Times New Roman" w:eastAsia="SimSun"/>
          <w:color w:val="000000"/>
          <w:sz w:val="24"/>
          <w:szCs w:val="24"/>
        </w:rPr>
        <w:t xml:space="preserve">Критерий прохождения: все выходные слои открыты на карте, таблица атрибутов GeoPackage читается, маска леса построена, в журнале предупреждений QGIS нет ошибок. Пара дат без шторма должна дать ноль или единичные объекты — это измеренный уровень ложных тревог конкретного района.</w:t>
      </w:r>
    </w:p>
    <w:p>
      <w:pPr>
        <w:pStyle w:val="Heading1"/>
        <w:spacing w:after="160" w:before="360" w:line="312"/>
      </w:pPr>
      <w:bookmarkStart w:id="100006" w:name="_Toc100006"/>
      <w:r>
        <w:rPr>
          <w:rFonts w:ascii="Arial" w:eastAsia="SimHei"/>
          <w:b/>
          <w:bCs/>
          <w:color w:val="1A4A3C"/>
          <w:sz w:val="32"/>
          <w:szCs w:val="32"/>
        </w:rPr>
        <w:t xml:space="preserve">4. Основной тракт: когерентность DiD на полных кадрах 80 м (T2-C)</w:t>
      </w:r>
      <w:bookmarkEnd w:id="100006"/>
    </w:p>
    <w:p>
      <w:pPr>
        <w:pStyle w:val="Heading2"/>
        <w:spacing w:after="120" w:before="240" w:line="312"/>
      </w:pPr>
      <w:bookmarkStart w:id="100007" w:name="_Toc100007"/>
      <w:r>
        <w:rPr>
          <w:rFonts w:ascii="Arial" w:eastAsia="SimHei"/>
          <w:b/>
          <w:bCs/>
          <w:color w:val="1A4A3C"/>
          <w:sz w:val="28"/>
          <w:szCs w:val="28"/>
        </w:rPr>
        <w:t xml:space="preserve">4.1. Данные и схема пар</w:t>
      </w:r>
      <w:bookmarkEnd w:id="100007"/>
    </w:p>
    <w:p>
      <w:pPr>
        <w:spacing w:after="80" w:line="312"/>
        <w:ind w:firstLine="709"/>
        <w:jc w:val="both"/>
      </w:pPr>
      <w:r>
        <w:rPr>
          <w:rFonts w:ascii="Times New Roman" w:eastAsia="SimSun"/>
          <w:color w:val="000000"/>
          <w:sz w:val="24"/>
          <w:szCs w:val="24"/>
        </w:rPr>
        <w:t xml:space="preserve">Тракту нужны два продукта ASF HyP3 INSAR-GAMMA с обработкой 20×4 мультилуков (шаг сетки 80 м) по одному и тому же проходу: пара «до/после», окно которой содержит шторм, и контрольная пара из спокойного периода того же сезона. На практике для каждого события заказываются три даты одного прохода: g1 — до шторма, g2 — после шторма (в пределах 2–3 недель), g3 — вторая контрольная дата; prepost = g1+g2, контроль = g2+g3. Метрика DiD считается как dcoh = coh(контроль) − coh(prepost): парная разность гасит статические зоны низкой когерентности (вырубки, влажный грунт) и сезонный дрейф, оставляя декорреляцию, вызванную именно повреждением полога.</w:t>
      </w:r>
    </w:p>
    <w:p>
      <w:pPr>
        <w:spacing w:after="80" w:line="312"/>
        <w:ind w:firstLine="709"/>
        <w:jc w:val="both"/>
      </w:pPr>
      <w:r>
        <w:rPr>
          <w:rFonts w:ascii="Times New Roman" w:eastAsia="SimSun"/>
          <w:color w:val="000000"/>
          <w:sz w:val="24"/>
          <w:szCs w:val="24"/>
        </w:rPr>
        <w:t xml:space="preserve">Для двенадцати верифицированных событий продукты уже скачаны в локальный архив (~4,5 ГБ), новый заказ не требуется. Для нового события заказ размещается в Vertex: On Demand → INSAR_GAMMA, granules [g1, g2] и [g2, g3], looks 20×4; опциональные слои (фаза, DEM, карты смещений) на детекцию не влияют, а слой водной маски присутствует в продуктах всегда.</w:t>
      </w:r>
    </w:p>
    <w:p>
      <w:pPr>
        <w:pStyle w:val="Heading2"/>
        <w:spacing w:after="120" w:before="240" w:line="312"/>
      </w:pPr>
      <w:bookmarkStart w:id="100008" w:name="_Toc100008"/>
      <w:r>
        <w:rPr>
          <w:rFonts w:ascii="Arial" w:eastAsia="SimHei"/>
          <w:b/>
          <w:bCs/>
          <w:color w:val="1A4A3C"/>
          <w:sz w:val="28"/>
          <w:szCs w:val="28"/>
        </w:rPr>
        <w:t xml:space="preserve">4.2. Настройка вкладки детекции</w:t>
      </w:r>
      <w:bookmarkEnd w:id="100008"/>
    </w:p>
    <w:p>
      <w:pPr>
        <w:spacing w:after="80" w:line="312"/>
        <w:ind w:firstLine="709"/>
        <w:jc w:val="both"/>
      </w:pPr>
      <w:r>
        <w:rPr>
          <w:rFonts w:ascii="Times New Roman" w:eastAsia="SimSun"/>
          <w:color w:val="000000"/>
          <w:sz w:val="24"/>
          <w:szCs w:val="24"/>
        </w:rPr>
        <w:t xml:space="preserve">Все поля настраиваются на вкладке Windthrow Detection после выбора метода Coherence DiD. Валидированные значения собраны в таблице 3; они соответствуют конфигурации, на которой получены метрики изданий 6–9.</w:t>
      </w:r>
    </w:p>
    <w:p>
      <w:pPr>
        <w:keepNext/>
        <w:spacing w:after="100" w:before="160" w:line="312"/>
        <w:jc w:val="left"/>
      </w:pPr>
      <w:r>
        <w:rPr>
          <w:rFonts w:ascii="Arial" w:eastAsia="SimHei"/>
          <w:b/>
          <w:bCs/>
          <w:color w:val="1A4A3C"/>
          <w:sz w:val="21"/>
          <w:szCs w:val="21"/>
        </w:rPr>
        <w:t xml:space="preserve">Таблица 3. Параметры coh_delta для полных кадров 80 м</w:t>
      </w:r>
    </w:p>
    <w:tbl>
      <w:tblPr>
        <w:tblW w:type="pct" w:w="100%"/>
        <w:tblBorders>
          <w:top w:val="single" w:color="2A7A65" w:sz="6"/>
          <w:left w:val="none" w:color="FFFFFF" w:sz="0"/>
          <w:bottom w:val="single" w:color="2A7A65" w:sz="6"/>
          <w:right w:val="none" w:color="FFFFFF" w:sz="0"/>
          <w:insideH w:val="single" w:color="C5D8D0" w:sz="2"/>
          <w:insideV w:val="single" w:color="C5D8D0" w:sz="2"/>
        </w:tblBorders>
      </w:tblPr>
      <w:tblGrid>
        <w:gridCol w:w="100"/>
        <w:gridCol w:w="100"/>
        <w:gridCol w:w="100"/>
      </w:tblGrid>
      <w:tr>
        <w:trPr>
          <w:cantSplit/>
          <w:tblHeader/>
        </w:trPr>
        <w:tc>
          <w:tcPr>
            <w:tcW w:type="pct" w:w="30%"/>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Поле</w:t>
            </w:r>
          </w:p>
        </w:tc>
        <w:tc>
          <w:tcPr>
            <w:tcW w:type="pct" w:w="28%"/>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Значение</w:t>
            </w:r>
          </w:p>
        </w:tc>
        <w:tc>
          <w:tcPr>
            <w:tcW w:type="pct" w:w="42%"/>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Комментарий</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Pre/post pair</w:t>
            </w:r>
          </w:p>
        </w:tc>
        <w:tc>
          <w:tcPr>
            <w:tcW w:type="pct" w:w="2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Папка или ZIP prepost-продукта</w:t>
            </w:r>
          </w:p>
        </w:tc>
        <w:tc>
          <w:tcPr>
            <w:tcW w:type="pct" w:w="42%"/>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Допустимы распакованный каталог, .zip и прямой путь к *_corr.tif</w:t>
            </w:r>
          </w:p>
        </w:tc>
      </w:tr>
      <w:tr>
        <w:trPr>
          <w:cantSplit/>
        </w:trPr>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Control pair</w:t>
            </w:r>
          </w:p>
        </w:tc>
        <w:tc>
          <w:tcPr>
            <w:tcW w:type="pct" w:w="2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Папка или ZIP контроля</w:t>
            </w:r>
          </w:p>
        </w:tc>
        <w:tc>
          <w:tcPr>
            <w:tcW w:type="pct" w:w="42%"/>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Обязателен: без него скор деградирует до 1 − coh и не защищён от вырубок</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Threshold mode</w:t>
            </w:r>
          </w:p>
        </w:tc>
        <w:tc>
          <w:tcPr>
            <w:tcW w:type="pct" w:w="2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Adaptive</w:t>
            </w:r>
          </w:p>
        </w:tc>
        <w:tc>
          <w:tcPr>
            <w:tcW w:type="pct" w:w="42%"/>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Порог = медиана фона + a; медиана устойчива к сезонному дрейфу</w:t>
            </w:r>
          </w:p>
        </w:tc>
      </w:tr>
      <w:tr>
        <w:trPr>
          <w:cantSplit/>
        </w:trPr>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Offset a (adaptive)</w:t>
            </w:r>
          </w:p>
        </w:tc>
        <w:tc>
          <w:tcPr>
            <w:tcW w:type="pct" w:w="2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0,25</w:t>
            </w:r>
          </w:p>
        </w:tc>
        <w:tc>
          <w:tcPr>
            <w:tcW w:type="pct" w:w="42%"/>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Единицы когерентности; 8–14 % ложных тревог на валидации; 0,10 заливает сцены с дрейфом</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Median filter</w:t>
            </w:r>
          </w:p>
        </w:tc>
        <w:tc>
          <w:tcPr>
            <w:tcW w:type="pct" w:w="2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3 × 3</w:t>
            </w:r>
          </w:p>
        </w:tc>
        <w:tc>
          <w:tcPr>
            <w:tcW w:type="pct" w:w="42%"/>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Подавление одиночных выбросов</w:t>
            </w:r>
          </w:p>
        </w:tc>
      </w:tr>
      <w:tr>
        <w:trPr>
          <w:cantSplit/>
        </w:trPr>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Min object size (px)</w:t>
            </w:r>
          </w:p>
        </w:tc>
        <w:tc>
          <w:tcPr>
            <w:tcW w:type="pct" w:w="2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6</w:t>
            </w:r>
          </w:p>
        </w:tc>
        <w:tc>
          <w:tcPr>
            <w:tcW w:type="pct" w:w="42%"/>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Пиксель 80 м = 0,64 га; объект ≈ 3,8 га — валидированный масштаб</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Restrict to forest mask</w:t>
            </w:r>
          </w:p>
        </w:tc>
        <w:tc>
          <w:tcPr>
            <w:tcW w:type="pct" w:w="2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Вкл., GFW Hansen GFC, год Y</w:t>
            </w:r>
          </w:p>
        </w:tc>
        <w:tc>
          <w:tcPr>
            <w:tcW w:type="pct" w:w="42%"/>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Строятся обе маски: _forest_gfc&lt;Y&gt;.tif (кандидаты) и _forestbg_gfc&lt;Y&gt;.tif (фон)</w:t>
            </w:r>
          </w:p>
        </w:tc>
      </w:tr>
    </w:tbl>
    <w:p>
      <w:pPr>
        <w:pStyle w:val="Heading2"/>
        <w:spacing w:after="120" w:before="240" w:line="312"/>
      </w:pPr>
      <w:bookmarkStart w:id="100009" w:name="_Toc100009"/>
      <w:r>
        <w:rPr>
          <w:rFonts w:ascii="Arial" w:eastAsia="SimHei"/>
          <w:b/>
          <w:bCs/>
          <w:color w:val="1A4A3C"/>
          <w:sz w:val="28"/>
          <w:szCs w:val="28"/>
        </w:rPr>
        <w:t xml:space="preserve">4.3. Запуск, выходы и диагностика</w:t>
      </w:r>
      <w:bookmarkEnd w:id="100009"/>
    </w:p>
    <w:p>
      <w:pPr>
        <w:spacing w:after="80" w:line="312"/>
        <w:ind w:firstLine="709"/>
        <w:jc w:val="both"/>
      </w:pPr>
      <w:r>
        <w:rPr>
          <w:rFonts w:ascii="Times New Roman" w:eastAsia="SimSun"/>
          <w:color w:val="000000"/>
          <w:sz w:val="24"/>
          <w:szCs w:val="24"/>
        </w:rPr>
        <w:t xml:space="preserve">Выходы прогона: растр _dcoh.tif (положительные значения — кандидаты в ветровал), очищенная маска _mask.tif и векторный слой GeoPackage с площадью каждого объекта в гектарах. В журнале заданий плагин печатает диагностику продукта: pixel_size_m (фактический шаг сетки), product_flavors и product_info (распознанное семейство GAMMA/ISCE, трек, бёрсты, поляризация), min_object_area_ha и состояние водной маски. Конвенция водной маски HyP3 — 1 = суша, 0 = вода; с v1.2 она применяется корректно, маска, «содержащая более 50 % воды», игнорируется с предупреждением как повреждённая.</w:t>
      </w:r>
    </w:p>
    <w:p>
      <w:pPr>
        <w:pStyle w:val="Heading2"/>
        <w:spacing w:after="120" w:before="240" w:line="312"/>
      </w:pPr>
      <w:bookmarkStart w:id="100010" w:name="_Toc100010"/>
      <w:r>
        <w:rPr>
          <w:rFonts w:ascii="Arial" w:eastAsia="SimHei"/>
          <w:b/>
          <w:bCs/>
          <w:color w:val="1A4A3C"/>
          <w:sz w:val="28"/>
          <w:szCs w:val="28"/>
        </w:rPr>
        <w:t xml:space="preserve">4.4. Ожидания и критерии успеха</w:t>
      </w:r>
      <w:bookmarkEnd w:id="100010"/>
    </w:p>
    <w:p>
      <w:pPr>
        <w:spacing w:after="80" w:line="312"/>
        <w:ind w:firstLine="709"/>
        <w:jc w:val="both"/>
      </w:pPr>
      <w:r>
        <w:rPr>
          <w:rFonts w:ascii="Times New Roman" w:eastAsia="SimSun"/>
          <w:color w:val="000000"/>
          <w:sz w:val="24"/>
          <w:szCs w:val="24"/>
        </w:rPr>
        <w:t xml:space="preserve">Регрессионный ориентир — таблица приложения Б: DiD-AUC по двенадцати событиям лежит в диапазоне 0,44–0,93, среднее 0,618–0,625; лучшие кейсы — ID683 (0,928), ID694 (0,908) и ID674 (0,764). Событие ID654 служит заведомо отрицательным контролем: его полигон безлесен на дату шторма, и ожидаемое значение AUC около 0,05 подтверждает отсутствие ложного срабатывания на безлесной территории. Минимальная приёмка прогона — визуальное пересечение объектов GeoPackage с эталонным контуром; полноценный расчёт AUC повторяется скриптово по образцу pipeline/validate_v1_coh.py или scripts_screening/wave2_coh_delta.py.</w:t>
      </w:r>
    </w:p>
    <w:p>
      <w:pPr>
        <w:pStyle w:val="Heading1"/>
        <w:spacing w:after="160" w:before="360" w:line="312"/>
      </w:pPr>
      <w:bookmarkStart w:id="100011" w:name="_Toc100011"/>
      <w:r>
        <w:rPr>
          <w:rFonts w:ascii="Arial" w:eastAsia="SimHei"/>
          <w:b/>
          <w:bCs/>
          <w:color w:val="1A4A3C"/>
          <w:sz w:val="32"/>
          <w:szCs w:val="32"/>
        </w:rPr>
        <w:t xml:space="preserve">5. Бёрст-пары 40 м (T2-B) — главный тест кампании</w:t>
      </w:r>
      <w:bookmarkEnd w:id="100011"/>
    </w:p>
    <w:p>
      <w:pPr>
        <w:pStyle w:val="Heading2"/>
        <w:spacing w:after="120" w:before="240" w:line="312"/>
      </w:pPr>
      <w:bookmarkStart w:id="100012" w:name="_Toc100012"/>
      <w:r>
        <w:rPr>
          <w:rFonts w:ascii="Arial" w:eastAsia="SimHei"/>
          <w:b/>
          <w:bCs/>
          <w:color w:val="1A4A3C"/>
          <w:sz w:val="28"/>
          <w:szCs w:val="28"/>
        </w:rPr>
        <w:t xml:space="preserve">5.1. Когда нужен бёрст</w:t>
      </w:r>
      <w:bookmarkEnd w:id="100012"/>
    </w:p>
    <w:p>
      <w:pPr>
        <w:spacing w:after="80" w:line="312"/>
        <w:ind w:firstLine="709"/>
        <w:jc w:val="both"/>
      </w:pPr>
      <w:r>
        <w:rPr>
          <w:rFonts w:ascii="Times New Roman" w:eastAsia="SimSun"/>
          <w:color w:val="000000"/>
          <w:sz w:val="24"/>
          <w:szCs w:val="24"/>
        </w:rPr>
        <w:t xml:space="preserve">Полный кадр INSAR-GAMMA покрывает около 250 км и на узких следах даёт долю повреждённых пикселей 1–2 %: след торнадо шириной в несколько сотен метров размывается 80-метровой сеткой. Продукт Burst InSAR считается на одиночном бёрсте площадью 50–150 км², что закрывает такой след целиком, а целевой шаг 40 м (мультилук 10×2) даёт пиксель 0,16 га. Экономика тоже в пользу бёрстов: заказ из 1–4 пар стоит 1 кредит, тогда как пара полных кадров — 10. Позиция «бёрст-пары 40 м» прямо заявлена в дорожной карте издания 9, и её проверка — главная цель этой кампании.</w:t>
      </w:r>
    </w:p>
    <w:p>
      <w:pPr>
        <w:pStyle w:val="Heading2"/>
        <w:spacing w:after="120" w:before="240" w:line="312"/>
      </w:pPr>
      <w:bookmarkStart w:id="100013" w:name="_Toc100013"/>
      <w:r>
        <w:rPr>
          <w:rFonts w:ascii="Arial" w:eastAsia="SimHei"/>
          <w:b/>
          <w:bCs/>
          <w:color w:val="1A4A3C"/>
          <w:sz w:val="28"/>
          <w:szCs w:val="28"/>
        </w:rPr>
        <w:t xml:space="preserve">5.2. Заказ в Vertex</w:t>
      </w:r>
      <w:bookmarkEnd w:id="100013"/>
    </w:p>
    <w:p>
      <w:pPr>
        <w:spacing w:after="80" w:line="312"/>
        <w:ind w:firstLine="709"/>
        <w:jc w:val="both"/>
      </w:pPr>
      <w:r>
        <w:rPr>
          <w:rFonts w:ascii="Times New Roman" w:eastAsia="SimSun"/>
          <w:color w:val="000000"/>
          <w:sz w:val="24"/>
          <w:szCs w:val="24"/>
        </w:rPr>
        <w:t xml:space="preserve">Помощник заказа внутри плагина запланирован на следующий релиз, поэтому кампания начинается с ручного заказа в веб-интерфейсе Vertex. Ключевое требование DiD-схемы: контрольная пара обязана быть заказана на том же бёрсте, что и пара «до/после» — когерентности разных бёрстов перекрываются только по границам, и несовпадающая пара вырождается в шум.</w:t>
      </w:r>
    </w:p>
    <w:p>
      <w:pPr>
        <w:pStyle w:val="ListParagraph"/>
        <w:numPr>
          <w:ilvl w:val="0"/>
          <w:numId w:val="4"/>
        </w:numPr>
        <w:spacing w:after="80" w:line="312"/>
        <w:jc w:val="left"/>
      </w:pPr>
      <w:r>
        <w:rPr>
          <w:rFonts w:ascii="Times New Roman" w:eastAsia="SimSun"/>
          <w:color w:val="000000"/>
          <w:sz w:val="24"/>
          <w:szCs w:val="24"/>
        </w:rPr>
        <w:t xml:space="preserve">В Vertex выполнить поиск типа SLC-Burst по AOI и датам; выбрать бёрст (трек, относительный burst ID, поляризация) и запомнить его идентификатор.</w:t>
      </w:r>
    </w:p>
    <w:p>
      <w:pPr>
        <w:pStyle w:val="ListParagraph"/>
        <w:numPr>
          <w:ilvl w:val="0"/>
          <w:numId w:val="4"/>
        </w:numPr>
        <w:spacing w:after="80" w:line="312"/>
        <w:jc w:val="left"/>
      </w:pPr>
      <w:r>
        <w:rPr>
          <w:rFonts w:ascii="Times New Roman" w:eastAsia="SimSun"/>
          <w:color w:val="000000"/>
          <w:sz w:val="24"/>
          <w:szCs w:val="24"/>
        </w:rPr>
        <w:t xml:space="preserve">On Demand → </w:t>
      </w:r>
      <w:r>
        <w:rPr>
          <w:rFonts w:ascii="Times New Roman" w:eastAsia="SimSun"/>
          <w:b/>
          <w:bCs/>
          <w:color w:val="000000"/>
          <w:sz w:val="24"/>
          <w:szCs w:val="24"/>
        </w:rPr>
        <w:t xml:space="preserve">Burst InSAR</w:t>
      </w:r>
      <w:r>
        <w:rPr>
          <w:rFonts w:ascii="Times New Roman" w:eastAsia="SimSun"/>
          <w:color w:val="000000"/>
          <w:sz w:val="24"/>
          <w:szCs w:val="24"/>
        </w:rPr>
        <w:t xml:space="preserve">: reference — дата до шторма, secondary — дата после; параметр looks = 10×2 (шаг 40 м; 5×1 даёт 20 м, 20×4 — 80 м). Имя задания — например, id694-burst-prepost.</w:t>
      </w:r>
    </w:p>
    <w:p>
      <w:pPr>
        <w:pStyle w:val="ListParagraph"/>
        <w:numPr>
          <w:ilvl w:val="0"/>
          <w:numId w:val="4"/>
        </w:numPr>
        <w:spacing w:after="80" w:line="312"/>
        <w:jc w:val="left"/>
      </w:pPr>
      <w:r>
        <w:rPr>
          <w:rFonts w:ascii="Times New Roman" w:eastAsia="SimSun"/>
          <w:color w:val="000000"/>
          <w:sz w:val="24"/>
          <w:szCs w:val="24"/>
        </w:rPr>
        <w:t xml:space="preserve">Разместить второй заказ контроля на том же бёрсте: обе даты вне окна повреждения, тот же сезон; имя вида id694-burst-control.</w:t>
      </w:r>
    </w:p>
    <w:p>
      <w:pPr>
        <w:pStyle w:val="ListParagraph"/>
        <w:numPr>
          <w:ilvl w:val="0"/>
          <w:numId w:val="4"/>
        </w:numPr>
        <w:spacing w:after="80" w:line="312"/>
        <w:jc w:val="left"/>
      </w:pPr>
      <w:r>
        <w:rPr>
          <w:rFonts w:ascii="Times New Roman" w:eastAsia="SimSun"/>
          <w:color w:val="000000"/>
          <w:sz w:val="24"/>
          <w:szCs w:val="24"/>
        </w:rPr>
        <w:t xml:space="preserve">Дождаться готовности (обычно 1–2 часа) и сразу скачать оба ZIP: presigned-ссылки живут около суток, сами продукты — около месяца.</w:t>
      </w:r>
    </w:p>
    <w:p>
      <w:pPr>
        <w:pStyle w:val="Heading2"/>
        <w:spacing w:after="120" w:before="240" w:line="312"/>
      </w:pPr>
      <w:bookmarkStart w:id="100014" w:name="_Toc100014"/>
      <w:r>
        <w:rPr>
          <w:rFonts w:ascii="Arial" w:eastAsia="SimHei"/>
          <w:b/>
          <w:bCs/>
          <w:color w:val="1A4A3C"/>
          <w:sz w:val="28"/>
          <w:szCs w:val="28"/>
        </w:rPr>
        <w:t xml:space="preserve">5.3. Настройка плагина и валидация пары</w:t>
      </w:r>
      <w:bookmarkEnd w:id="100014"/>
    </w:p>
    <w:p>
      <w:pPr>
        <w:spacing w:after="80" w:line="312"/>
        <w:ind w:firstLine="709"/>
        <w:jc w:val="both"/>
      </w:pPr>
      <w:r>
        <w:rPr>
          <w:rFonts w:ascii="Times New Roman" w:eastAsia="SimSun"/>
          <w:color w:val="000000"/>
          <w:sz w:val="24"/>
          <w:szCs w:val="24"/>
        </w:rPr>
        <w:t xml:space="preserve">Настройка повторяет таблицу 3 с двумя отличиями: в поля Pre/post pair и Control pair подаются ZIP бёрст-продуктов, а минимальный размер объекта поднимается до 20–25 пикселей — при пикселе 0,16 га дефолтные 6 пикселей дали бы объект 0,96 га вместо валидированных 3,8 га. Плагин сам подсказывает в журнале, когда эффективная площадь объекта падает ниже 2 га. Маски GFC@Y строятся на сетке DiD бёрста — как и для полных кадров, обеими вариантами (кандидаты и фон).</w:t>
      </w:r>
    </w:p>
    <w:p>
      <w:pPr>
        <w:spacing w:after="80" w:line="312"/>
        <w:ind w:firstLine="709"/>
        <w:jc w:val="both"/>
      </w:pPr>
      <w:r>
        <w:rPr>
          <w:rFonts w:ascii="Times New Roman" w:eastAsia="SimSun"/>
          <w:color w:val="000000"/>
          <w:sz w:val="24"/>
          <w:szCs w:val="24"/>
        </w:rPr>
        <w:t xml:space="preserve">Валидатор DiD-пары проверяет совместимость продуктов до расчёта. Смешение GAMMA-кадра с бёрст-продуктом запрещено outright; две бёрст-пары обязаны иметь одинаковые относительные burst ID, трек и поляризацию, иначе плагин завершается с понятным сообщением «order the control pair for the same burst»; несовпадение шага сетки (например, 40 м против 80 м) допускается с предупреждением, поскольку ресемплинг делает статистику dcoh шумной. Переименованные продукты проходят без валидации с пометкой family = None.</w:t>
      </w:r>
    </w:p>
    <w:p>
      <w:pPr>
        <w:pStyle w:val="Heading2"/>
        <w:spacing w:after="120" w:before="240" w:line="312"/>
      </w:pPr>
      <w:bookmarkStart w:id="100015" w:name="_Toc100015"/>
      <w:r>
        <w:rPr>
          <w:rFonts w:ascii="Arial" w:eastAsia="SimHei"/>
          <w:b/>
          <w:bCs/>
          <w:color w:val="1A4A3C"/>
          <w:sz w:val="28"/>
          <w:szCs w:val="28"/>
        </w:rPr>
        <w:t xml:space="preserve">5.4. Критерии успеха</w:t>
      </w:r>
      <w:bookmarkEnd w:id="100015"/>
    </w:p>
    <w:p>
      <w:pPr>
        <w:spacing w:after="80" w:line="312"/>
        <w:ind w:firstLine="709"/>
        <w:jc w:val="both"/>
      </w:pPr>
      <w:r>
        <w:rPr>
          <w:rFonts w:ascii="Times New Roman" w:eastAsia="SimSun"/>
          <w:color w:val="000000"/>
          <w:sz w:val="24"/>
          <w:szCs w:val="24"/>
        </w:rPr>
        <w:t xml:space="preserve">Успешный прогон бёрст-пары на кейсе ID694 (торнадо 19.09.2017, 161 га) или ID696 (шквал 23.07.2017) должен показать сплошное покрытие следа детекциями по всей длине — без фрагментации, характерной для 80-метровой сетки. Численный ориентир: значение AUC или доля пересечения с эталоном не хуже, чем у 80-метрового прогона того же события из издания 6. В диагностике результата должны присутствовать pixel_size_m = 40 и product_flavors с бёрст-семейством — это подтверждает, что продукт распознан как Burst InSAR, а не как кадр GAMMA.</w:t>
      </w:r>
    </w:p>
    <w:p>
      <w:pPr>
        <w:pStyle w:val="Heading1"/>
        <w:spacing w:after="160" w:before="360" w:line="312"/>
      </w:pPr>
      <w:bookmarkStart w:id="100016" w:name="_Toc100016"/>
      <w:r>
        <w:rPr>
          <w:rFonts w:ascii="Arial" w:eastAsia="SimHei"/>
          <w:b/>
          <w:bCs/>
          <w:color w:val="1A4A3C"/>
          <w:sz w:val="32"/>
          <w:szCs w:val="32"/>
        </w:rPr>
        <w:t xml:space="preserve">6. Подтверждающий тракт: L-диапазон PALSAR (T2-L)</w:t>
      </w:r>
      <w:bookmarkEnd w:id="100016"/>
    </w:p>
    <w:p>
      <w:pPr>
        <w:spacing w:after="80" w:line="312"/>
        <w:ind w:firstLine="709"/>
        <w:jc w:val="both"/>
      </w:pPr>
      <w:r>
        <w:rPr>
          <w:rFonts w:ascii="Times New Roman" w:eastAsia="SimSun"/>
          <w:color w:val="000000"/>
          <w:sz w:val="24"/>
          <w:szCs w:val="24"/>
        </w:rPr>
        <w:t xml:space="preserve">L-диапазон проникает сквозь полог и рассеивается на стволах, поэтому вываленный древостой теряет объёмное рассеяние, и сигнал над завалом падает — знак отклика противоположен C-диапазону. Режим L-band decline инвертирует разности и считает LDI = (HH_pre − HH_post) + (HV_pre − HV_post), так что положительные значения снова означают ветровал. На валидации инверсный AUC достигал 0,870 по каналу dHH на шквале ID666 и 0,905 по dHV на торнадо ID694 — это лучший результат проекта на уровне одного события.</w:t>
      </w:r>
    </w:p>
    <w:p>
      <w:pPr>
        <w:spacing w:after="80" w:line="312"/>
        <w:ind w:firstLine="709"/>
        <w:jc w:val="both"/>
      </w:pPr>
      <w:r>
        <w:rPr>
          <w:rFonts w:ascii="Times New Roman" w:eastAsia="SimSun"/>
          <w:color w:val="000000"/>
          <w:sz w:val="24"/>
          <w:szCs w:val="24"/>
        </w:rPr>
        <w:t xml:space="preserve">Данные — годовые мозаики ALOS/ALOS-2 PALSAR (каналы HH и HV) из коллекции alos-palsar-mosaic на Planetary Computer: «до» — мозаика года, предшествующего событию, «после» — мозаика года события. Файлы подаются в списки Pre-storm и Post-storm вкладки детекции; конверсия DN в дБ выполняется автоматически, а калибровочная константа в разности сокращается. Параметры: метод L-band decline, адаптивный порог a = 1,5–2,0 дБ (годовая пара — не 2,9, как для C-диапазона), медианный фильтр 3×3, минимум 27 пикселей, маска леса GFC@Y обязательна — зарастающие поля и сельхозсмены тоже дают падение L-сигнала. Между эпохами проходит двенадцать месяцев, поэтому конфаундеры (рубки, зарастание) отсекаются именно маской, а не выбором окна.</w:t>
      </w:r>
    </w:p>
    <w:p>
      <w:pPr>
        <w:spacing w:after="80" w:line="312"/>
        <w:ind w:firstLine="709"/>
        <w:jc w:val="both"/>
      </w:pPr>
      <w:r>
        <w:rPr>
          <w:rFonts w:ascii="Times New Roman" w:eastAsia="SimSun"/>
          <w:color w:val="000000"/>
          <w:sz w:val="24"/>
          <w:szCs w:val="24"/>
        </w:rPr>
        <w:t xml:space="preserve">Критерий успеха: воспроизведение invAUC порядка 0,87–0,905 на кейсах ID666 и ID694 при подаче тех же мозаик через графический интерфейс, а также качественное совпадение контуров детекций с эталонным полигоном. Если сигнал слабее, первым делом проверяется маска: без неё порог смещается полевой растительностью.</w:t>
      </w:r>
    </w:p>
    <w:p>
      <w:pPr>
        <w:pStyle w:val="Heading1"/>
        <w:spacing w:after="160" w:before="360" w:line="312"/>
      </w:pPr>
      <w:bookmarkStart w:id="100017" w:name="_Toc100017"/>
      <w:r>
        <w:rPr>
          <w:rFonts w:ascii="Arial" w:eastAsia="SimHei"/>
          <w:b/>
          <w:bCs/>
          <w:color w:val="1A4A3C"/>
          <w:sz w:val="32"/>
          <w:szCs w:val="32"/>
        </w:rPr>
        <w:t xml:space="preserve">7. Референсный тракт: амплитудный WI (T2-W)</w:t>
      </w:r>
      <w:bookmarkEnd w:id="100017"/>
    </w:p>
    <w:p>
      <w:pPr>
        <w:spacing w:after="80" w:line="312"/>
        <w:ind w:firstLine="709"/>
        <w:jc w:val="both"/>
      </w:pPr>
      <w:r>
        <w:rPr>
          <w:rFonts w:ascii="Times New Roman" w:eastAsia="SimSun"/>
          <w:color w:val="000000"/>
          <w:sz w:val="24"/>
          <w:szCs w:val="24"/>
        </w:rPr>
        <w:t xml:space="preserve">Амплитудный индекс ветровала WI = ΔVV + ΔVH остаётся в плагине как метод-первоисточник по Rüetschi и соавторам (2019) и как единственный тракт, пригодный для мониторинга без заказов HyP3. Протокол объектной оценки из инструкции v1.0 сохраняет силу: контуры эталонной базы обрезаются по AOI, каждый объект детекции помечается TP (пересекает эталон) или FP (не пересекает), пропущенные эталонные полигоны площадью не менее 0,5 га считаются FN; полнота PA = TP/(TP+FN), точность UA = TP/(TP+FP). Ориентир для признания кейса успешным — PA ≥ 0,7 и UA ≥ 0,5, как и прежде.</w:t>
      </w:r>
    </w:p>
    <w:p>
      <w:pPr>
        <w:spacing w:after="80" w:line="312"/>
        <w:ind w:firstLine="709"/>
        <w:jc w:val="both"/>
      </w:pPr>
      <w:r>
        <w:rPr>
          <w:rFonts w:ascii="Times New Roman" w:eastAsia="SimSun"/>
          <w:color w:val="000000"/>
          <w:sz w:val="24"/>
          <w:szCs w:val="24"/>
        </w:rPr>
        <w:t xml:space="preserve">Скорректированы ожидания. На лесных событиях Европейской России летом C-диапазон не детектирует ветровал: на ID666 AUC всех восьми испробованных индексов составил 0,49–0,58, а на рабочем варианте WI — 0,49–0,51 при PA 0,059. Причина — конфаундер влажности: мокрый после шторма фон растёт сильнее завала. Поэтому T2-W выполняется по желанию — для сопоставления с когерентным трактом на том же событии и для мониторинговых прогонов текущих дат; рабочие параметры неизменны: продукт RTC, адаптивный порог a = 2,9 дБ, медианный фильтр 3×3, минимум 27 пикселей, нормализация фона включена, маска леса включена.</w:t>
      </w:r>
    </w:p>
    <w:p>
      <w:pPr>
        <w:pStyle w:val="Heading1"/>
        <w:spacing w:after="160" w:before="360" w:line="312"/>
      </w:pPr>
      <w:bookmarkStart w:id="100018" w:name="_Toc100018"/>
      <w:r>
        <w:rPr>
          <w:rFonts w:ascii="Arial" w:eastAsia="SimHei"/>
          <w:b/>
          <w:bCs/>
          <w:color w:val="1A4A3C"/>
          <w:sz w:val="32"/>
          <w:szCs w:val="32"/>
        </w:rPr>
        <w:t xml:space="preserve">8. Регрессионные проверки v1.2</w:t>
      </w:r>
      <w:bookmarkEnd w:id="100018"/>
    </w:p>
    <w:p>
      <w:pPr>
        <w:spacing w:after="80" w:line="312"/>
        <w:ind w:firstLine="709"/>
        <w:jc w:val="both"/>
      </w:pPr>
      <w:r>
        <w:rPr>
          <w:rFonts w:ascii="Times New Roman" w:eastAsia="SimSun"/>
          <w:color w:val="000000"/>
          <w:sz w:val="24"/>
          <w:szCs w:val="24"/>
        </w:rPr>
        <w:t xml:space="preserve">Семь коротких проверок закрывают новые и исправленные ветки поведения. Каждая занимает 5–10 минут и не требует новых заказов: используются уже скачанные продукты двенадцати событий. Итог проверки фиксируется строкой «ожидание подтверждено» либо описанием отклонения — эти строки образуют раздел «Регрессии» отчёта кампании.</w:t>
      </w:r>
    </w:p>
    <w:p>
      <w:pPr>
        <w:keepNext/>
        <w:spacing w:after="100" w:before="160" w:line="312"/>
        <w:jc w:val="left"/>
      </w:pPr>
      <w:r>
        <w:rPr>
          <w:rFonts w:ascii="Arial" w:eastAsia="SimHei"/>
          <w:b/>
          <w:bCs/>
          <w:color w:val="1A4A3C"/>
          <w:sz w:val="21"/>
          <w:szCs w:val="21"/>
        </w:rPr>
        <w:t xml:space="preserve">Таблица 4. Регрессионный лист v1.2/v1.2.1</w:t>
      </w:r>
    </w:p>
    <w:tbl>
      <w:tblPr>
        <w:tblW w:type="pct" w:w="100%"/>
        <w:tblBorders>
          <w:top w:val="single" w:color="2A7A65" w:sz="6"/>
          <w:left w:val="none" w:color="FFFFFF" w:sz="0"/>
          <w:bottom w:val="single" w:color="2A7A65" w:sz="6"/>
          <w:right w:val="none" w:color="FFFFFF" w:sz="0"/>
          <w:insideH w:val="single" w:color="C5D8D0" w:sz="2"/>
          <w:insideV w:val="single" w:color="C5D8D0" w:sz="2"/>
        </w:tblBorders>
      </w:tblPr>
      <w:tblGrid>
        <w:gridCol w:w="100"/>
        <w:gridCol w:w="100"/>
        <w:gridCol w:w="100"/>
      </w:tblGrid>
      <w:tr>
        <w:trPr>
          <w:cantSplit/>
          <w:tblHeader/>
        </w:trPr>
        <w:tc>
          <w:tcPr>
            <w:tcW w:type="pct" w:w="6%"/>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w:t>
            </w:r>
          </w:p>
        </w:tc>
        <w:tc>
          <w:tcPr>
            <w:tcW w:type="pct" w:w="44%"/>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Действие</w:t>
            </w:r>
          </w:p>
        </w:tc>
        <w:tc>
          <w:tcPr>
            <w:tcW w:type="pct" w:w="50%"/>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Ожидаемое поведение</w:t>
            </w:r>
          </w:p>
        </w:tc>
      </w:tr>
      <w:tr>
        <w:trPr>
          <w:cantSplit/>
        </w:trPr>
        <w:tc>
          <w:tcPr>
            <w:tcW w:type="pct" w:w="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R1</w:t>
            </w:r>
          </w:p>
        </w:tc>
        <w:tc>
          <w:tcPr>
            <w:tcW w:type="pct" w:w="4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coh-прогон тайжного продукта с водной маской</w:t>
            </w:r>
          </w:p>
        </w:tc>
        <w:tc>
          <w:tcPr>
            <w:tcW w:type="pct" w:w="5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Маска применяется; в журнале нет «corrupt water mask»; детекции не клиппуются к воде</w:t>
            </w:r>
          </w:p>
        </w:tc>
      </w:tr>
      <w:tr>
        <w:trPr>
          <w:cantSplit/>
        </w:trPr>
        <w:tc>
          <w:tcPr>
            <w:tcW w:type="pct" w:w="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R2</w:t>
            </w:r>
          </w:p>
        </w:tc>
        <w:tc>
          <w:tcPr>
            <w:tcW w:type="pct" w:w="4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Prepost GAMMA + контроль burst</w:t>
            </w:r>
          </w:p>
        </w:tc>
        <w:tc>
          <w:tcPr>
            <w:tcW w:type="pct" w:w="5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Отказ до расчёта: несовместимые семейства продуктов</w:t>
            </w:r>
          </w:p>
        </w:tc>
      </w:tr>
      <w:tr>
        <w:trPr>
          <w:cantSplit/>
        </w:trPr>
        <w:tc>
          <w:tcPr>
            <w:tcW w:type="pct" w:w="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R3</w:t>
            </w:r>
          </w:p>
        </w:tc>
        <w:tc>
          <w:tcPr>
            <w:tcW w:type="pct" w:w="4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Две бёрст-пары разных бёрстов</w:t>
            </w:r>
          </w:p>
        </w:tc>
        <w:tc>
          <w:tcPr>
            <w:tcW w:type="pct" w:w="5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Отказ «order the control pair for the same burst»</w:t>
            </w:r>
          </w:p>
        </w:tc>
      </w:tr>
      <w:tr>
        <w:trPr>
          <w:cantSplit/>
        </w:trPr>
        <w:tc>
          <w:tcPr>
            <w:tcW w:type="pct" w:w="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R4</w:t>
            </w:r>
          </w:p>
        </w:tc>
        <w:tc>
          <w:tcPr>
            <w:tcW w:type="pct" w:w="4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Пары с разным шагом (40 м и 80 м)</w:t>
            </w:r>
          </w:p>
        </w:tc>
        <w:tc>
          <w:tcPr>
            <w:tcW w:type="pct" w:w="5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Предупреждение; расчёт продолжается</w:t>
            </w:r>
          </w:p>
        </w:tc>
      </w:tr>
      <w:tr>
        <w:trPr>
          <w:cantSplit/>
        </w:trPr>
        <w:tc>
          <w:tcPr>
            <w:tcW w:type="pct" w:w="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R5</w:t>
            </w:r>
          </w:p>
        </w:tc>
        <w:tc>
          <w:tcPr>
            <w:tcW w:type="pct" w:w="4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coh без контрольной пары</w:t>
            </w:r>
          </w:p>
        </w:tc>
        <w:tc>
          <w:tcPr>
            <w:tcW w:type="pct" w:w="5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Предупреждение; скор = 1 − coh — не DiD, для выводов не использовать</w:t>
            </w:r>
          </w:p>
        </w:tc>
      </w:tr>
      <w:tr>
        <w:trPr>
          <w:cantSplit/>
        </w:trPr>
        <w:tc>
          <w:tcPr>
            <w:tcW w:type="pct" w:w="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R6</w:t>
            </w:r>
          </w:p>
        </w:tc>
        <w:tc>
          <w:tcPr>
            <w:tcW w:type="pct" w:w="4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coh + GFC@Y из GUI (регрессия v1.2.1)</w:t>
            </w:r>
          </w:p>
        </w:tc>
        <w:tc>
          <w:tcPr>
            <w:tcW w:type="pct" w:w="5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Mask source выбирается в coh-режиме; строятся обе маски на сетке DiD</w:t>
            </w:r>
          </w:p>
        </w:tc>
      </w:tr>
      <w:tr>
        <w:trPr>
          <w:cantSplit/>
        </w:trPr>
        <w:tc>
          <w:tcPr>
            <w:tcW w:type="pct" w:w="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R7</w:t>
            </w:r>
          </w:p>
        </w:tc>
        <w:tc>
          <w:tcPr>
            <w:tcW w:type="pct" w:w="4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Переименованный/кастомный продукт</w:t>
            </w:r>
          </w:p>
        </w:tc>
        <w:tc>
          <w:tcPr>
            <w:tcW w:type="pct" w:w="5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family = None; валидация пары пропускается с предупреждением</w:t>
            </w:r>
          </w:p>
        </w:tc>
      </w:tr>
    </w:tbl>
    <w:p>
      <w:pPr>
        <w:pStyle w:val="Heading1"/>
        <w:spacing w:after="160" w:before="360" w:line="312"/>
      </w:pPr>
      <w:bookmarkStart w:id="100019" w:name="_Toc100019"/>
      <w:r>
        <w:rPr>
          <w:rFonts w:ascii="Arial" w:eastAsia="SimHei"/>
          <w:b/>
          <w:bCs/>
          <w:color w:val="1A4A3C"/>
          <w:sz w:val="32"/>
          <w:szCs w:val="32"/>
        </w:rPr>
        <w:t xml:space="preserve">9. Реестр ложных тревог и грабель</w:t>
      </w:r>
      <w:bookmarkEnd w:id="100019"/>
    </w:p>
    <w:p>
      <w:pPr>
        <w:spacing w:after="80" w:line="312"/>
        <w:ind w:firstLine="709"/>
        <w:jc w:val="both"/>
      </w:pPr>
      <w:r>
        <w:rPr>
          <w:rFonts w:ascii="Times New Roman" w:eastAsia="SimSun"/>
          <w:color w:val="000000"/>
          <w:sz w:val="24"/>
          <w:szCs w:val="24"/>
        </w:rPr>
        <w:t xml:space="preserve">Реестр объединяет классические источники ложных тревог из инструкции v1.0 и новые, выявленные в ходе валидации когерентного тракта. Он читается перед каждым прогоном: большинство расхождений с эталонными метриками объясняется одной из строк таблицы 5. Для каждой ситуации указано смягчающее действие, доступное в плагине без правки кода.</w:t>
      </w:r>
    </w:p>
    <w:p>
      <w:pPr>
        <w:keepNext/>
        <w:spacing w:after="100" w:before="160" w:line="312"/>
        <w:jc w:val="left"/>
      </w:pPr>
      <w:r>
        <w:rPr>
          <w:rFonts w:ascii="Arial" w:eastAsia="SimHei"/>
          <w:b/>
          <w:bCs/>
          <w:color w:val="1A4A3C"/>
          <w:sz w:val="21"/>
          <w:szCs w:val="21"/>
        </w:rPr>
        <w:t xml:space="preserve">Таблица 5. Источники ложных тревог и известные грабли</w:t>
      </w:r>
    </w:p>
    <w:tbl>
      <w:tblPr>
        <w:tblW w:type="pct" w:w="100%"/>
        <w:tblBorders>
          <w:top w:val="single" w:color="2A7A65" w:sz="6"/>
          <w:left w:val="none" w:color="FFFFFF" w:sz="0"/>
          <w:bottom w:val="single" w:color="2A7A65" w:sz="6"/>
          <w:right w:val="none" w:color="FFFFFF" w:sz="0"/>
          <w:insideH w:val="single" w:color="C5D8D0" w:sz="2"/>
          <w:insideV w:val="single" w:color="C5D8D0" w:sz="2"/>
        </w:tblBorders>
      </w:tblPr>
      <w:tblGrid>
        <w:gridCol w:w="100"/>
        <w:gridCol w:w="100"/>
        <w:gridCol w:w="100"/>
      </w:tblGrid>
      <w:tr>
        <w:trPr>
          <w:cantSplit/>
          <w:tblHeader/>
        </w:trPr>
        <w:tc>
          <w:tcPr>
            <w:tcW w:type="pct" w:w="30%"/>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Ситуация</w:t>
            </w:r>
          </w:p>
        </w:tc>
        <w:tc>
          <w:tcPr>
            <w:tcW w:type="pct" w:w="34%"/>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Механизм</w:t>
            </w:r>
          </w:p>
        </w:tc>
        <w:tc>
          <w:tcPr>
            <w:tcW w:type="pct" w:w="36%"/>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Смягчение</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Поля, сенокос, пахота</w:t>
            </w:r>
          </w:p>
        </w:tc>
        <w:tc>
          <w:tcPr>
            <w:tcW w:type="pct" w:w="3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Рост шероховатости поверхности</w:t>
            </w:r>
          </w:p>
        </w:tc>
        <w:tc>
          <w:tcPr>
            <w:tcW w:type="pct" w:w="3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Маска леса GFC@Y</w:t>
            </w:r>
          </w:p>
        </w:tc>
      </w:tr>
      <w:tr>
        <w:trPr>
          <w:cantSplit/>
        </w:trPr>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Водные объекты</w:t>
            </w:r>
          </w:p>
        </w:tc>
        <w:tc>
          <w:tcPr>
            <w:tcW w:type="pct" w:w="3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Ветровое волнение между датами</w:t>
            </w:r>
          </w:p>
        </w:tc>
        <w:tc>
          <w:tcPr>
            <w:tcW w:type="pct" w:w="3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Водная маска HyP3 (1 = суша / 0 = вода); порог выше</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Свежий снег, осенняя инверсия</w:t>
            </w:r>
          </w:p>
        </w:tc>
        <w:tc>
          <w:tcPr>
            <w:tcW w:type="pct" w:w="3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Поглощение C-сигнала; открытый настил когерентнее кроны</w:t>
            </w:r>
          </w:p>
        </w:tc>
        <w:tc>
          <w:tcPr>
            <w:tcW w:type="pct" w:w="3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Контроль того же сезона; медиана фона в пороге</w:t>
            </w:r>
          </w:p>
        </w:tc>
      </w:tr>
      <w:tr>
        <w:trPr>
          <w:cantSplit/>
        </w:trPr>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Сезонный дрейф когерентности</w:t>
            </w:r>
          </w:p>
        </w:tc>
        <w:tc>
          <w:tcPr>
            <w:tcW w:type="pct" w:w="3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Сдвиг всего фона dcoh (freeze-up: +0,33 на ID694)</w:t>
            </w:r>
          </w:p>
        </w:tc>
        <w:tc>
          <w:tcPr>
            <w:tcW w:type="pct" w:w="3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Adaptive по медиане, a ≥ 0,25; не снижать до 0,10</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Контроль загрязнён тем же штормом (derecho ID666)</w:t>
            </w:r>
          </w:p>
        </w:tc>
        <w:tc>
          <w:tcPr>
            <w:tcW w:type="pct" w:w="3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Фон декоррелирован в любой паре</w:t>
            </w:r>
          </w:p>
        </w:tc>
        <w:tc>
          <w:tcPr>
            <w:tcW w:type="pct" w:w="3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Контроль из тихого периода или до-до пара; предел для таких кейсов — AUC ≈ 0,6</w:t>
            </w:r>
          </w:p>
        </w:tc>
      </w:tr>
      <w:tr>
        <w:trPr>
          <w:cantSplit/>
        </w:trPr>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Узкий след уже шага сетки</w:t>
            </w:r>
          </w:p>
        </w:tc>
        <w:tc>
          <w:tcPr>
            <w:tcW w:type="pct" w:w="3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Размывание 80-м пикселем</w:t>
            </w:r>
          </w:p>
        </w:tc>
        <w:tc>
          <w:tcPr>
            <w:tcW w:type="pct" w:w="3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Бёрст-пары 40 м (раздел 5)</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Маска «из будущего»</w:t>
            </w:r>
          </w:p>
        </w:tc>
        <w:tc>
          <w:tcPr>
            <w:tcW w:type="pct" w:w="3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WC-2021 на событие 2017: 0 пикселей фона (ID655)</w:t>
            </w:r>
          </w:p>
        </w:tc>
        <w:tc>
          <w:tcPr>
            <w:tcW w:type="pct" w:w="3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Ретроспектива 2001–2024 → GFC@Y; WorldCover — только мониторинг</w:t>
            </w:r>
          </w:p>
        </w:tc>
      </w:tr>
      <w:tr>
        <w:trPr>
          <w:cantSplit/>
        </w:trPr>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Внутригодовая рубка до шторма</w:t>
            </w:r>
          </w:p>
        </w:tc>
        <w:tc>
          <w:tcPr>
            <w:tcW w:type="pct" w:w="3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GFC ежегодная (ID654)</w:t>
            </w:r>
          </w:p>
        </w:tc>
        <w:tc>
          <w:tcPr>
            <w:tcW w:type="pct" w:w="3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Сверка с lossyear и визуально; кейс — отрицательный контроль</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Ссылки HyP3 истекли</w:t>
            </w:r>
          </w:p>
        </w:tc>
        <w:tc>
          <w:tcPr>
            <w:tcW w:type="pct" w:w="3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Presigned-ссылки ~24 ч, продукты ~30 дней</w:t>
            </w:r>
          </w:p>
        </w:tc>
        <w:tc>
          <w:tcPr>
            <w:tcW w:type="pct" w:w="3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Скачивать сразу после готовности</w:t>
            </w:r>
          </w:p>
        </w:tc>
      </w:tr>
      <w:tr>
        <w:trPr>
          <w:cantSplit/>
        </w:trPr>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/vsicurl/ «завис»</w:t>
            </w:r>
          </w:p>
        </w:tc>
        <w:tc>
          <w:tcPr>
            <w:tcW w:type="pct" w:w="3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Построение GFC-маски окнами</w:t>
            </w:r>
          </w:p>
        </w:tc>
        <w:tc>
          <w:tcPr>
            <w:tcW w:type="pct" w:w="3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Около 40 с на слой на окно 1° — норма</w:t>
            </w:r>
          </w:p>
        </w:tc>
      </w:tr>
      <w:tr>
        <w:trPr>
          <w:cantSplit/>
        </w:trPr>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min_pixels по умолчанию на 40 м</w:t>
            </w:r>
          </w:p>
        </w:tc>
        <w:tc>
          <w:tcPr>
            <w:tcW w:type="pct" w:w="3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6 пикселей = 0,96 га вместо валидированных 3,8 га</w:t>
            </w:r>
          </w:p>
        </w:tc>
        <w:tc>
          <w:tcPr>
            <w:tcW w:type="pct" w:w="3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20–25 пикселей для бёрст-пар; подсказка в журнале при &lt; 2 га</w:t>
            </w:r>
          </w:p>
        </w:tc>
      </w:tr>
    </w:tbl>
    <w:p>
      <w:pPr>
        <w:pStyle w:val="Heading1"/>
        <w:spacing w:after="160" w:before="360" w:line="312"/>
      </w:pPr>
      <w:bookmarkStart w:id="100020" w:name="_Toc100020"/>
      <w:r>
        <w:rPr>
          <w:rFonts w:ascii="Arial" w:eastAsia="SimHei"/>
          <w:b/>
          <w:bCs/>
          <w:color w:val="1A4A3C"/>
          <w:sz w:val="32"/>
          <w:szCs w:val="32"/>
        </w:rPr>
        <w:t xml:space="preserve">10. Фиксация результатов и порядок кампании</w:t>
      </w:r>
      <w:bookmarkEnd w:id="100020"/>
    </w:p>
    <w:p>
      <w:pPr>
        <w:pStyle w:val="Heading2"/>
        <w:spacing w:after="120" w:before="240" w:line="312"/>
      </w:pPr>
      <w:bookmarkStart w:id="100021" w:name="_Toc100021"/>
      <w:r>
        <w:rPr>
          <w:rFonts w:ascii="Arial" w:eastAsia="SimHei"/>
          <w:b/>
          <w:bCs/>
          <w:color w:val="1A4A3C"/>
          <w:sz w:val="28"/>
          <w:szCs w:val="28"/>
        </w:rPr>
        <w:t xml:space="preserve">10.1. Форма по кейсу</w:t>
      </w:r>
      <w:bookmarkEnd w:id="100021"/>
    </w:p>
    <w:p>
      <w:pPr>
        <w:spacing w:after="80" w:line="312"/>
        <w:ind w:firstLine="709"/>
        <w:jc w:val="both"/>
      </w:pPr>
      <w:r>
        <w:rPr>
          <w:rFonts w:ascii="Times New Roman" w:eastAsia="SimSun"/>
          <w:color w:val="000000"/>
          <w:sz w:val="24"/>
          <w:szCs w:val="24"/>
        </w:rPr>
        <w:t xml:space="preserve">По каждому прогону заполняется единая форма — так результаты разных трактов и разных недель сводятся в один отчёт без расшифровки переписки. Форма хранится как JSON-файл или строка таблицы; скриншоты складываются рядом.</w:t>
      </w:r>
    </w:p>
    <w:p>
      <w:pPr>
        <w:pStyle w:val="ListParagraph"/>
        <w:numPr>
          <w:ilvl w:val="0"/>
          <w:numId w:val="1"/>
        </w:numPr>
        <w:spacing w:after="60" w:line="312"/>
        <w:jc w:val="left"/>
      </w:pPr>
      <w:r>
        <w:rPr>
          <w:rFonts w:ascii="Times New Roman" w:eastAsia="SimSun"/>
          <w:b/>
          <w:bCs/>
          <w:color w:val="000000"/>
          <w:sz w:val="24"/>
          <w:szCs w:val="24"/>
        </w:rPr>
        <w:t xml:space="preserve">Кейс: </w:t>
      </w:r>
      <w:r>
        <w:rPr>
          <w:rFonts w:ascii="Times New Roman" w:eastAsia="SimSun"/>
          <w:color w:val="000000"/>
          <w:sz w:val="24"/>
          <w:szCs w:val="24"/>
        </w:rPr>
        <w:t xml:space="preserve">ID события, дата, тип шторма, площадь эталонного полигона.</w:t>
      </w:r>
    </w:p>
    <w:p>
      <w:pPr>
        <w:pStyle w:val="ListParagraph"/>
        <w:numPr>
          <w:ilvl w:val="0"/>
          <w:numId w:val="1"/>
        </w:numPr>
        <w:spacing w:after="60" w:line="312"/>
        <w:jc w:val="left"/>
      </w:pPr>
      <w:r>
        <w:rPr>
          <w:rFonts w:ascii="Times New Roman" w:eastAsia="SimSun"/>
          <w:b/>
          <w:bCs/>
          <w:color w:val="000000"/>
          <w:sz w:val="24"/>
          <w:szCs w:val="24"/>
        </w:rPr>
        <w:t xml:space="preserve">Окружение: </w:t>
      </w:r>
      <w:r>
        <w:rPr>
          <w:rFonts w:ascii="Times New Roman" w:eastAsia="SimSun"/>
          <w:color w:val="000000"/>
          <w:sz w:val="24"/>
          <w:szCs w:val="24"/>
        </w:rPr>
        <w:t xml:space="preserve">версия плагина, версия QGIS, ОС.</w:t>
      </w:r>
    </w:p>
    <w:p>
      <w:pPr>
        <w:pStyle w:val="ListParagraph"/>
        <w:numPr>
          <w:ilvl w:val="0"/>
          <w:numId w:val="1"/>
        </w:numPr>
        <w:spacing w:after="60" w:line="312"/>
        <w:jc w:val="left"/>
      </w:pPr>
      <w:r>
        <w:rPr>
          <w:rFonts w:ascii="Times New Roman" w:eastAsia="SimSun"/>
          <w:b/>
          <w:bCs/>
          <w:color w:val="000000"/>
          <w:sz w:val="24"/>
          <w:szCs w:val="24"/>
        </w:rPr>
        <w:t xml:space="preserve">Продукты: </w:t>
      </w:r>
      <w:r>
        <w:rPr>
          <w:rFonts w:ascii="Times New Roman" w:eastAsia="SimSun"/>
          <w:color w:val="000000"/>
          <w:sz w:val="24"/>
          <w:szCs w:val="24"/>
        </w:rPr>
        <w:t xml:space="preserve">имена гранул/заданий, семейство (GAMMA/ISCE), шаг сетки, даты пар.</w:t>
      </w:r>
    </w:p>
    <w:p>
      <w:pPr>
        <w:pStyle w:val="ListParagraph"/>
        <w:numPr>
          <w:ilvl w:val="0"/>
          <w:numId w:val="1"/>
        </w:numPr>
        <w:spacing w:after="60" w:line="312"/>
        <w:jc w:val="left"/>
      </w:pPr>
      <w:r>
        <w:rPr>
          <w:rFonts w:ascii="Times New Roman" w:eastAsia="SimSun"/>
          <w:b/>
          <w:bCs/>
          <w:color w:val="000000"/>
          <w:sz w:val="24"/>
          <w:szCs w:val="24"/>
        </w:rPr>
        <w:t xml:space="preserve">Параметры: </w:t>
      </w:r>
      <w:r>
        <w:rPr>
          <w:rFonts w:ascii="Times New Roman" w:eastAsia="SimSun"/>
          <w:color w:val="000000"/>
          <w:sz w:val="24"/>
          <w:szCs w:val="24"/>
        </w:rPr>
        <w:t xml:space="preserve">режим порога, a / a_coh, min_pixels, медианный фильтр, маска и год Y.</w:t>
      </w:r>
    </w:p>
    <w:p>
      <w:pPr>
        <w:pStyle w:val="ListParagraph"/>
        <w:numPr>
          <w:ilvl w:val="0"/>
          <w:numId w:val="1"/>
        </w:numPr>
        <w:spacing w:after="60" w:line="312"/>
        <w:jc w:val="left"/>
      </w:pPr>
      <w:r>
        <w:rPr>
          <w:rFonts w:ascii="Times New Roman" w:eastAsia="SimSun"/>
          <w:b/>
          <w:bCs/>
          <w:color w:val="000000"/>
          <w:sz w:val="24"/>
          <w:szCs w:val="24"/>
        </w:rPr>
        <w:t xml:space="preserve">Результаты: </w:t>
      </w:r>
      <w:r>
        <w:rPr>
          <w:rFonts w:ascii="Times New Roman" w:eastAsia="SimSun"/>
          <w:color w:val="000000"/>
          <w:sz w:val="24"/>
          <w:szCs w:val="24"/>
        </w:rPr>
        <w:t xml:space="preserve">число объектов, суммарная area_ha, AUC/excess при скриптовом расчёте, сравнение с эталоном приложения Б.</w:t>
      </w:r>
    </w:p>
    <w:p>
      <w:pPr>
        <w:pStyle w:val="ListParagraph"/>
        <w:numPr>
          <w:ilvl w:val="0"/>
          <w:numId w:val="1"/>
        </w:numPr>
        <w:spacing w:after="60" w:line="312"/>
        <w:jc w:val="left"/>
      </w:pPr>
      <w:r>
        <w:rPr>
          <w:rFonts w:ascii="Times New Roman" w:eastAsia="SimSun"/>
          <w:b/>
          <w:bCs/>
          <w:color w:val="000000"/>
          <w:sz w:val="24"/>
          <w:szCs w:val="24"/>
        </w:rPr>
        <w:t xml:space="preserve">Аномалии: </w:t>
      </w:r>
      <w:r>
        <w:rPr>
          <w:rFonts w:ascii="Times New Roman" w:eastAsia="SimSun"/>
          <w:color w:val="000000"/>
          <w:sz w:val="24"/>
          <w:szCs w:val="24"/>
        </w:rPr>
        <w:t xml:space="preserve">предупреждения из журнала (водная маска, шаг, family), поведение прогресса.</w:t>
      </w:r>
    </w:p>
    <w:p>
      <w:pPr>
        <w:pStyle w:val="ListParagraph"/>
        <w:numPr>
          <w:ilvl w:val="0"/>
          <w:numId w:val="1"/>
        </w:numPr>
        <w:spacing w:after="60" w:line="312"/>
        <w:jc w:val="left"/>
      </w:pPr>
      <w:r>
        <w:rPr>
          <w:rFonts w:ascii="Times New Roman" w:eastAsia="SimSun"/>
          <w:b/>
          <w:bCs/>
          <w:color w:val="000000"/>
          <w:sz w:val="24"/>
          <w:szCs w:val="24"/>
        </w:rPr>
        <w:t xml:space="preserve">Артефакты: </w:t>
      </w:r>
      <w:r>
        <w:rPr>
          <w:rFonts w:ascii="Times New Roman" w:eastAsia="SimSun"/>
          <w:color w:val="000000"/>
          <w:sz w:val="24"/>
          <w:szCs w:val="24"/>
        </w:rPr>
        <w:t xml:space="preserve">скриншоты dcoh/маски/GPKG поверх эталона; пути к выходным файлам.</w:t>
      </w:r>
    </w:p>
    <w:p>
      <w:pPr>
        <w:spacing w:after="80" w:line="312"/>
        <w:ind w:firstLine="709"/>
        <w:jc w:val="both"/>
      </w:pPr>
      <w:r>
        <w:rPr>
          <w:rFonts w:ascii="Times New Roman" w:eastAsia="SimSun"/>
          <w:color w:val="000000"/>
          <w:sz w:val="24"/>
          <w:szCs w:val="24"/>
        </w:rPr>
        <w:t xml:space="preserve">Результаты складываются в каталог results репозитория под именем &lt;id&gt;_realtest_&lt;дата&gt;.json, скриншоты — в docs/realtest/. Если прогон воспроизводит эталонную метрику в пределах ±0,02 AUC, кейс помечается как регрессионно зелёный.</w:t>
      </w:r>
    </w:p>
    <w:p>
      <w:pPr>
        <w:pStyle w:val="Heading2"/>
        <w:spacing w:after="120" w:before="240" w:line="312"/>
      </w:pPr>
      <w:bookmarkStart w:id="100022" w:name="_Toc100022"/>
      <w:r>
        <w:rPr>
          <w:rFonts w:ascii="Arial" w:eastAsia="SimHei"/>
          <w:b/>
          <w:bCs/>
          <w:color w:val="1A4A3C"/>
          <w:sz w:val="28"/>
          <w:szCs w:val="28"/>
        </w:rPr>
        <w:t xml:space="preserve">10.2. План кампании</w:t>
      </w:r>
      <w:bookmarkEnd w:id="100022"/>
    </w:p>
    <w:p>
      <w:pPr>
        <w:pStyle w:val="ListParagraph"/>
        <w:numPr>
          <w:ilvl w:val="0"/>
          <w:numId w:val="5"/>
        </w:numPr>
        <w:spacing w:after="80" w:line="312"/>
        <w:jc w:val="left"/>
      </w:pPr>
      <w:r>
        <w:rPr>
          <w:rFonts w:ascii="Times New Roman" w:eastAsia="SimSun"/>
          <w:b/>
          <w:bCs/>
          <w:color w:val="000000"/>
          <w:sz w:val="24"/>
          <w:szCs w:val="24"/>
        </w:rPr>
        <w:t xml:space="preserve">Неделя 1: </w:t>
      </w:r>
      <w:r>
        <w:rPr>
          <w:rFonts w:ascii="Times New Roman" w:eastAsia="SimSun"/>
          <w:color w:val="000000"/>
          <w:sz w:val="24"/>
          <w:szCs w:val="24"/>
        </w:rPr>
        <w:t xml:space="preserve">T0, дымовой тест T1, T2-C на одном-двух событиях из двенадцати со сверкой с приложением Б, регрессионный лист R1–R7.</w:t>
      </w:r>
    </w:p>
    <w:p>
      <w:pPr>
        <w:pStyle w:val="ListParagraph"/>
        <w:numPr>
          <w:ilvl w:val="0"/>
          <w:numId w:val="5"/>
        </w:numPr>
        <w:spacing w:after="80" w:line="312"/>
        <w:jc w:val="left"/>
      </w:pPr>
      <w:r>
        <w:rPr>
          <w:rFonts w:ascii="Times New Roman" w:eastAsia="SimSun"/>
          <w:b/>
          <w:bCs/>
          <w:color w:val="000000"/>
          <w:sz w:val="24"/>
          <w:szCs w:val="24"/>
        </w:rPr>
        <w:t xml:space="preserve">Неделя 2: </w:t>
      </w:r>
      <w:r>
        <w:rPr>
          <w:rFonts w:ascii="Times New Roman" w:eastAsia="SimSun"/>
          <w:color w:val="000000"/>
          <w:sz w:val="24"/>
          <w:szCs w:val="24"/>
        </w:rPr>
        <w:t xml:space="preserve">заказ бёрст-пар в Vertex на ID694 и ID696 (около 4 кредитов), прогоны 40 м по разделу 5, сравнение с 80-метровыми прогонами издания 6.</w:t>
      </w:r>
    </w:p>
    <w:p>
      <w:pPr>
        <w:pStyle w:val="ListParagraph"/>
        <w:numPr>
          <w:ilvl w:val="0"/>
          <w:numId w:val="5"/>
        </w:numPr>
        <w:spacing w:after="80" w:line="312"/>
        <w:jc w:val="left"/>
      </w:pPr>
      <w:r>
        <w:rPr>
          <w:rFonts w:ascii="Times New Roman" w:eastAsia="SimSun"/>
          <w:b/>
          <w:bCs/>
          <w:color w:val="000000"/>
          <w:sz w:val="24"/>
          <w:szCs w:val="24"/>
        </w:rPr>
        <w:t xml:space="preserve">Неделя 3: </w:t>
      </w:r>
      <w:r>
        <w:rPr>
          <w:rFonts w:ascii="Times New Roman" w:eastAsia="SimSun"/>
          <w:color w:val="000000"/>
          <w:sz w:val="24"/>
          <w:szCs w:val="24"/>
        </w:rPr>
        <w:t xml:space="preserve">T2-L на ID666 и ID694, при желании T2-W, свод результатов по форме 10.1 и выводы для дорожной карты v1.3.</w:t>
      </w:r>
    </w:p>
    <w:p>
      <w:pPr>
        <w:pStyle w:val="Heading1"/>
        <w:spacing w:after="160" w:before="360" w:line="312"/>
      </w:pPr>
      <w:bookmarkStart w:id="100023" w:name="_Toc100023"/>
      <w:r>
        <w:rPr>
          <w:rFonts w:ascii="Arial" w:eastAsia="SimHei"/>
          <w:b/>
          <w:bCs/>
          <w:color w:val="1A4A3C"/>
          <w:sz w:val="32"/>
          <w:szCs w:val="32"/>
        </w:rPr>
        <w:t xml:space="preserve">Приложение А. Валидированные параметры</w:t>
      </w:r>
      <w:bookmarkEnd w:id="100023"/>
    </w:p>
    <w:p>
      <w:pPr>
        <w:spacing w:after="80" w:line="312"/>
        <w:ind w:firstLine="709"/>
        <w:jc w:val="both"/>
      </w:pPr>
      <w:r>
        <w:rPr>
          <w:rFonts w:ascii="Times New Roman" w:eastAsia="SimSun"/>
          <w:color w:val="000000"/>
          <w:sz w:val="24"/>
          <w:szCs w:val="24"/>
        </w:rPr>
        <w:t xml:space="preserve">Таблица 6 сводит параметры, на которых получены валидированные метрики проекта. Они же — значения по умолчанию для кампании реального тестирования; менять их имеет смысл только в рамках T3-экспериментов по чувствительности.</w:t>
      </w:r>
    </w:p>
    <w:p>
      <w:pPr>
        <w:keepNext/>
        <w:spacing w:after="100" w:before="160" w:line="312"/>
        <w:jc w:val="left"/>
      </w:pPr>
      <w:r>
        <w:rPr>
          <w:rFonts w:ascii="Arial" w:eastAsia="SimHei"/>
          <w:b/>
          <w:bCs/>
          <w:color w:val="1A4A3C"/>
          <w:sz w:val="21"/>
          <w:szCs w:val="21"/>
        </w:rPr>
        <w:t xml:space="preserve">Таблица 6. Сводка валидированных параметров</w:t>
      </w:r>
    </w:p>
    <w:tbl>
      <w:tblPr>
        <w:tblW w:type="pct" w:w="100%"/>
        <w:tblBorders>
          <w:top w:val="single" w:color="2A7A65" w:sz="6"/>
          <w:left w:val="none" w:color="FFFFFF" w:sz="0"/>
          <w:bottom w:val="single" w:color="2A7A65" w:sz="6"/>
          <w:right w:val="none" w:color="FFFFFF" w:sz="0"/>
          <w:insideH w:val="single" w:color="C5D8D0" w:sz="2"/>
          <w:insideV w:val="single" w:color="C5D8D0" w:sz="2"/>
        </w:tblBorders>
      </w:tblPr>
      <w:tblGrid>
        <w:gridCol w:w="100"/>
        <w:gridCol w:w="100"/>
        <w:gridCol w:w="100"/>
        <w:gridCol w:w="100"/>
      </w:tblGrid>
      <w:tr>
        <w:trPr>
          <w:cantSplit/>
          <w:tblHeader/>
        </w:trPr>
        <w:tc>
          <w:tcPr>
            <w:tcW w:type="pct" w:w="20%"/>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Режим</w:t>
            </w:r>
          </w:p>
        </w:tc>
        <w:tc>
          <w:tcPr>
            <w:tcW w:type="pct" w:w="30%"/>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Параметр</w:t>
            </w:r>
          </w:p>
        </w:tc>
        <w:tc>
          <w:tcPr>
            <w:tcW w:type="pct" w:w="26%"/>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Значение</w:t>
            </w:r>
          </w:p>
        </w:tc>
        <w:tc>
          <w:tcPr>
            <w:tcW w:type="pct" w:w="24%"/>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Источник</w:t>
            </w:r>
          </w:p>
        </w:tc>
      </w:tr>
      <w:tr>
        <w:trPr>
          <w:cantSplit/>
        </w:trPr>
        <w:tc>
          <w:tcPr>
            <w:tcW w:type="pct" w:w="2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WI (C-band)</w:t>
            </w:r>
          </w:p>
        </w:tc>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a (адаптивный порог)</w:t>
            </w:r>
          </w:p>
        </w:tc>
        <w:tc>
          <w:tcPr>
            <w:tcW w:type="pct" w:w="2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2,9 дБ</w:t>
            </w:r>
          </w:p>
        </w:tc>
        <w:tc>
          <w:tcPr>
            <w:tcW w:type="pct" w:w="2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Rüetschi 2019; сетка проекта</w:t>
            </w:r>
          </w:p>
        </w:tc>
      </w:tr>
      <w:tr>
        <w:trPr>
          <w:cantSplit/>
        </w:trPr>
        <w:tc>
          <w:tcPr>
            <w:tcW w:type="pct" w:w="2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WI (C-band)</w:t>
            </w:r>
          </w:p>
        </w:tc>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Мин. объект n</w:t>
            </w:r>
          </w:p>
        </w:tc>
        <w:tc>
          <w:tcPr>
            <w:tcW w:type="pct" w:w="2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27 px (сетка 10 м)</w:t>
            </w:r>
          </w:p>
        </w:tc>
        <w:tc>
          <w:tcPr>
            <w:tcW w:type="pct" w:w="2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Rüetschi 2019</w:t>
            </w:r>
          </w:p>
        </w:tc>
      </w:tr>
      <w:tr>
        <w:trPr>
          <w:cantSplit/>
        </w:trPr>
        <w:tc>
          <w:tcPr>
            <w:tcW w:type="pct" w:w="2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WI (C-band)</w:t>
            </w:r>
          </w:p>
        </w:tc>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Окна дат</w:t>
            </w:r>
          </w:p>
        </w:tc>
        <w:tc>
          <w:tcPr>
            <w:tcW w:type="pct" w:w="2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pre −21…−1 д; post +1…+14 д; одна орбита</w:t>
            </w:r>
          </w:p>
        </w:tc>
        <w:tc>
          <w:tcPr>
            <w:tcW w:type="pct" w:w="2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Изд. 9</w:t>
            </w:r>
          </w:p>
        </w:tc>
      </w:tr>
      <w:tr>
        <w:trPr>
          <w:cantSplit/>
        </w:trPr>
        <w:tc>
          <w:tcPr>
            <w:tcW w:type="pct" w:w="2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coh 80 м</w:t>
            </w:r>
          </w:p>
        </w:tc>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a_coh (адаптивный)</w:t>
            </w:r>
          </w:p>
        </w:tc>
        <w:tc>
          <w:tcPr>
            <w:tcW w:type="pct" w:w="2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0,25 (медиана фона)</w:t>
            </w:r>
          </w:p>
        </w:tc>
        <w:tc>
          <w:tcPr>
            <w:tcW w:type="pct" w:w="2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Этапы 12b/12c</w:t>
            </w:r>
          </w:p>
        </w:tc>
      </w:tr>
      <w:tr>
        <w:trPr>
          <w:cantSplit/>
        </w:trPr>
        <w:tc>
          <w:tcPr>
            <w:tcW w:type="pct" w:w="2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coh 80 м</w:t>
            </w:r>
          </w:p>
        </w:tc>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min_pixels</w:t>
            </w:r>
          </w:p>
        </w:tc>
        <w:tc>
          <w:tcPr>
            <w:tcW w:type="pct" w:w="2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6 (≈ 3,8 га)</w:t>
            </w:r>
          </w:p>
        </w:tc>
        <w:tc>
          <w:tcPr>
            <w:tcW w:type="pct" w:w="2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Изд. 4/6</w:t>
            </w:r>
          </w:p>
        </w:tc>
      </w:tr>
      <w:tr>
        <w:trPr>
          <w:cantSplit/>
        </w:trPr>
        <w:tc>
          <w:tcPr>
            <w:tcW w:type="pct" w:w="2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coh 40 м</w:t>
            </w:r>
          </w:p>
        </w:tc>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min_pixels</w:t>
            </w:r>
          </w:p>
        </w:tc>
        <w:tc>
          <w:tcPr>
            <w:tcW w:type="pct" w:w="2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20–25 px</w:t>
            </w:r>
          </w:p>
        </w:tc>
        <w:tc>
          <w:tcPr>
            <w:tcW w:type="pct" w:w="2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METHOD.md §7</w:t>
            </w:r>
          </w:p>
        </w:tc>
      </w:tr>
      <w:tr>
        <w:trPr>
          <w:cantSplit/>
        </w:trPr>
        <w:tc>
          <w:tcPr>
            <w:tcW w:type="pct" w:w="2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coh</w:t>
            </w:r>
          </w:p>
        </w:tc>
        <w:tc>
          <w:tcPr>
            <w:tcW w:type="pct" w:w="30%"/>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Маски леса</w:t>
            </w:r>
          </w:p>
        </w:tc>
        <w:tc>
          <w:tcPr>
            <w:tcW w:type="pct" w:w="26%"/>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GFC@Y: кандидат + фон; τ = 30 %; доля ≥ 0,5</w:t>
            </w:r>
          </w:p>
        </w:tc>
        <w:tc>
          <w:tcPr>
            <w:tcW w:type="pct" w:w="24%"/>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Изд. 8, §9</w:t>
            </w:r>
          </w:p>
        </w:tc>
      </w:tr>
      <w:tr>
        <w:trPr>
          <w:cantSplit/>
        </w:trPr>
        <w:tc>
          <w:tcPr>
            <w:tcW w:type="pct" w:w="2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L-band</w:t>
            </w:r>
          </w:p>
        </w:tc>
        <w:tc>
          <w:tcPr>
            <w:tcW w:type="pct" w:w="30%"/>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a (адаптивный)</w:t>
            </w:r>
          </w:p>
        </w:tc>
        <w:tc>
          <w:tcPr>
            <w:tcW w:type="pct" w:w="26%"/>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1,5–2,0 дБ</w:t>
            </w:r>
          </w:p>
        </w:tc>
        <w:tc>
          <w:tcPr>
            <w:tcW w:type="pct" w:w="24%"/>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Годовые мозаики</w:t>
            </w:r>
          </w:p>
        </w:tc>
      </w:tr>
    </w:tbl>
    <w:p>
      <w:pPr>
        <w:pStyle w:val="Heading1"/>
        <w:spacing w:after="160" w:before="360" w:line="312"/>
      </w:pPr>
      <w:bookmarkStart w:id="100024" w:name="_Toc100024"/>
      <w:r>
        <w:rPr>
          <w:rFonts w:ascii="Arial" w:eastAsia="SimHei"/>
          <w:b/>
          <w:bCs/>
          <w:color w:val="1A4A3C"/>
          <w:sz w:val="32"/>
          <w:szCs w:val="32"/>
        </w:rPr>
        <w:t xml:space="preserve">Приложение Б. Референсные метрики 12 событий</w:t>
      </w:r>
      <w:bookmarkEnd w:id="100024"/>
    </w:p>
    <w:p>
      <w:pPr>
        <w:spacing w:after="80" w:line="312"/>
        <w:ind w:firstLine="709"/>
        <w:jc w:val="both"/>
      </w:pPr>
      <w:r>
        <w:rPr>
          <w:rFonts w:ascii="Times New Roman" w:eastAsia="SimSun"/>
          <w:color w:val="000000"/>
          <w:sz w:val="24"/>
          <w:szCs w:val="24"/>
        </w:rPr>
        <w:t xml:space="preserve">Эталонные значения DiD-AUC по двенадцати верифицированным событиям 2015–2017 гг. после пересчёта с масками Hansen GFC на год, предшествующий событию (издание 9, раздел 9). Вариант v0 — без маски, WC-2021 — одномоментная маска WorldCover (для ID655 она ломает метод, оставляя ноль фоновых пикселей). Среднее по двенадцати событиям: v0 0,620 против GFC@Y 0,618 — ценность маски в корректной семантике фон/кандидат и в защите от «масок из будущего», а не в приросте метрики.</w:t>
      </w:r>
    </w:p>
    <w:p>
      <w:pPr>
        <w:keepNext/>
        <w:spacing w:after="100" w:before="160" w:line="312"/>
        <w:jc w:val="left"/>
      </w:pPr>
      <w:r>
        <w:rPr>
          <w:rFonts w:ascii="Arial" w:eastAsia="SimHei"/>
          <w:b/>
          <w:bCs/>
          <w:color w:val="1A4A3C"/>
          <w:sz w:val="21"/>
          <w:szCs w:val="21"/>
        </w:rPr>
        <w:t xml:space="preserve">Таблица 7. DiD-AUC по событиям (изд. 9, GFC-рескор)</w:t>
      </w:r>
    </w:p>
    <w:tbl>
      <w:tblPr>
        <w:tblW w:type="pct" w:w="100%"/>
        <w:tblBorders>
          <w:top w:val="single" w:color="2A7A65" w:sz="6"/>
          <w:left w:val="none" w:color="FFFFFF" w:sz="0"/>
          <w:bottom w:val="single" w:color="2A7A65" w:sz="6"/>
          <w:right w:val="none" w:color="FFFFFF" w:sz="0"/>
          <w:insideH w:val="single" w:color="C5D8D0" w:sz="2"/>
          <w:insideV w:val="single" w:color="C5D8D0" w:sz="2"/>
        </w:tblBorders>
      </w:tblPr>
      <w:tblGrid>
        <w:gridCol w:w="100"/>
        <w:gridCol w:w="100"/>
        <w:gridCol w:w="100"/>
        <w:gridCol w:w="100"/>
        <w:gridCol w:w="100"/>
        <w:gridCol w:w="100"/>
      </w:tblGrid>
      <w:tr>
        <w:trPr>
          <w:cantSplit/>
          <w:tblHeader/>
        </w:trPr>
        <w:tc>
          <w:tcPr>
            <w:tcW w:type="pct" w:w="12%"/>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ID</w:t>
            </w:r>
          </w:p>
        </w:tc>
        <w:tc>
          <w:tcPr>
            <w:tcW w:type="pct" w:w="18%"/>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Дата</w:t>
            </w:r>
          </w:p>
        </w:tc>
        <w:tc>
          <w:tcPr>
            <w:tcW w:type="pct" w:w="18%"/>
            <w:shd w:fill="2A7A65" w:val="clear"/>
            <w:tcMar>
              <w:top w:type="dxa" w:w="60"/>
              <w:left w:type="dxa" w:w="100"/>
              <w:bottom w:type="dxa" w:w="60"/>
              <w:right w:type="dxa" w:w="100"/>
            </w:tcMar>
          </w:tcPr>
          <w:p>
            <w:pPr>
              <w:spacing w:line="276"/>
              <w:jc w:val="left"/>
            </w:pPr>
            <w:r>
              <w:rPr>
                <w:rFonts w:ascii="Arial" w:eastAsia="SimHei"/>
                <w:b/>
                <w:bCs/>
                <w:color w:val="FFFFFF"/>
                <w:sz w:val="20"/>
                <w:szCs w:val="20"/>
              </w:rPr>
              <w:t xml:space="preserve">Тип шторма</w:t>
            </w:r>
          </w:p>
        </w:tc>
        <w:tc>
          <w:tcPr>
            <w:tcW w:type="pct" w:w="18%"/>
            <w:shd w:fill="2A7A65" w:val="clear"/>
            <w:tcMar>
              <w:top w:type="dxa" w:w="60"/>
              <w:left w:type="dxa" w:w="100"/>
              <w:bottom w:type="dxa" w:w="60"/>
              <w:right w:type="dxa" w:w="100"/>
            </w:tcMar>
          </w:tcPr>
          <w:p>
            <w:pPr>
              <w:spacing w:line="276"/>
              <w:jc w:val="right"/>
            </w:pPr>
            <w:r>
              <w:rPr>
                <w:rFonts w:ascii="Arial" w:eastAsia="SimHei"/>
                <w:b/>
                <w:bCs/>
                <w:color w:val="FFFFFF"/>
                <w:sz w:val="20"/>
                <w:szCs w:val="20"/>
              </w:rPr>
              <w:t xml:space="preserve">v0 (без маски)</w:t>
            </w:r>
          </w:p>
        </w:tc>
        <w:tc>
          <w:tcPr>
            <w:tcW w:type="pct" w:w="16%"/>
            <w:shd w:fill="2A7A65" w:val="clear"/>
            <w:tcMar>
              <w:top w:type="dxa" w:w="60"/>
              <w:left w:type="dxa" w:w="100"/>
              <w:bottom w:type="dxa" w:w="60"/>
              <w:right w:type="dxa" w:w="100"/>
            </w:tcMar>
          </w:tcPr>
          <w:p>
            <w:pPr>
              <w:spacing w:line="276"/>
              <w:jc w:val="right"/>
            </w:pPr>
            <w:r>
              <w:rPr>
                <w:rFonts w:ascii="Arial" w:eastAsia="SimHei"/>
                <w:b/>
                <w:bCs/>
                <w:color w:val="FFFFFF"/>
                <w:sz w:val="20"/>
                <w:szCs w:val="20"/>
              </w:rPr>
              <w:t xml:space="preserve">GFC@Y</w:t>
            </w:r>
          </w:p>
        </w:tc>
        <w:tc>
          <w:tcPr>
            <w:tcW w:type="pct" w:w="18%"/>
            <w:shd w:fill="2A7A65" w:val="clear"/>
            <w:tcMar>
              <w:top w:type="dxa" w:w="60"/>
              <w:left w:type="dxa" w:w="100"/>
              <w:bottom w:type="dxa" w:w="60"/>
              <w:right w:type="dxa" w:w="100"/>
            </w:tcMar>
          </w:tcPr>
          <w:p>
            <w:pPr>
              <w:spacing w:line="276"/>
              <w:jc w:val="right"/>
            </w:pPr>
            <w:r>
              <w:rPr>
                <w:rFonts w:ascii="Arial" w:eastAsia="SimHei"/>
                <w:b/>
                <w:bCs/>
                <w:color w:val="FFFFFF"/>
                <w:sz w:val="20"/>
                <w:szCs w:val="20"/>
              </w:rPr>
              <w:t xml:space="preserve">WC-2021</w:t>
            </w:r>
          </w:p>
        </w:tc>
      </w:tr>
      <w:tr>
        <w:trPr>
          <w:cantSplit/>
        </w:trPr>
        <w:tc>
          <w:tcPr>
            <w:tcW w:type="pct" w:w="12%"/>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id579</w:t>
            </w:r>
          </w:p>
        </w:tc>
        <w:tc>
          <w:tcPr>
            <w:tcW w:type="pct" w:w="1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02.07.2015</w:t>
            </w:r>
          </w:p>
        </w:tc>
        <w:tc>
          <w:tcPr>
            <w:tcW w:type="pct" w:w="1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торнадо</w:t>
            </w:r>
          </w:p>
        </w:tc>
        <w:tc>
          <w:tcPr>
            <w:tcW w:type="pct" w:w="18%"/>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0,665</w:t>
            </w:r>
          </w:p>
        </w:tc>
        <w:tc>
          <w:tcPr>
            <w:tcW w:type="pct" w:w="16%"/>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0,654</w:t>
            </w:r>
          </w:p>
        </w:tc>
        <w:tc>
          <w:tcPr>
            <w:tcW w:type="pct" w:w="18%"/>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0,655</w:t>
            </w:r>
          </w:p>
        </w:tc>
      </w:tr>
      <w:tr>
        <w:trPr>
          <w:cantSplit/>
        </w:trPr>
        <w:tc>
          <w:tcPr>
            <w:tcW w:type="pct" w:w="12%"/>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id583</w:t>
            </w:r>
          </w:p>
        </w:tc>
        <w:tc>
          <w:tcPr>
            <w:tcW w:type="pct" w:w="1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26.07.2015</w:t>
            </w:r>
          </w:p>
        </w:tc>
        <w:tc>
          <w:tcPr>
            <w:tcW w:type="pct" w:w="1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шквал</w:t>
            </w:r>
          </w:p>
        </w:tc>
        <w:tc>
          <w:tcPr>
            <w:tcW w:type="pct" w:w="18%"/>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0,612</w:t>
            </w:r>
          </w:p>
        </w:tc>
        <w:tc>
          <w:tcPr>
            <w:tcW w:type="pct" w:w="16%"/>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0,640</w:t>
            </w:r>
          </w:p>
        </w:tc>
        <w:tc>
          <w:tcPr>
            <w:tcW w:type="pct" w:w="18%"/>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0,635</w:t>
            </w:r>
          </w:p>
        </w:tc>
      </w:tr>
      <w:tr>
        <w:trPr>
          <w:cantSplit/>
        </w:trPr>
        <w:tc>
          <w:tcPr>
            <w:tcW w:type="pct" w:w="12%"/>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id608</w:t>
            </w:r>
          </w:p>
        </w:tc>
        <w:tc>
          <w:tcPr>
            <w:tcW w:type="pct" w:w="1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13.07.2016</w:t>
            </w:r>
          </w:p>
        </w:tc>
        <w:tc>
          <w:tcPr>
            <w:tcW w:type="pct" w:w="1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торнадо</w:t>
            </w:r>
          </w:p>
        </w:tc>
        <w:tc>
          <w:tcPr>
            <w:tcW w:type="pct" w:w="18%"/>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0,511</w:t>
            </w:r>
          </w:p>
        </w:tc>
        <w:tc>
          <w:tcPr>
            <w:tcW w:type="pct" w:w="16%"/>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0,505</w:t>
            </w:r>
          </w:p>
        </w:tc>
        <w:tc>
          <w:tcPr>
            <w:tcW w:type="pct" w:w="18%"/>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0,504</w:t>
            </w:r>
          </w:p>
        </w:tc>
      </w:tr>
      <w:tr>
        <w:trPr>
          <w:cantSplit/>
        </w:trPr>
        <w:tc>
          <w:tcPr>
            <w:tcW w:type="pct" w:w="12%"/>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id646</w:t>
            </w:r>
          </w:p>
        </w:tc>
        <w:tc>
          <w:tcPr>
            <w:tcW w:type="pct" w:w="1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29.05.2017</w:t>
            </w:r>
          </w:p>
        </w:tc>
        <w:tc>
          <w:tcPr>
            <w:tcW w:type="pct" w:w="1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шквал</w:t>
            </w:r>
          </w:p>
        </w:tc>
        <w:tc>
          <w:tcPr>
            <w:tcW w:type="pct" w:w="18%"/>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0,664</w:t>
            </w:r>
          </w:p>
        </w:tc>
        <w:tc>
          <w:tcPr>
            <w:tcW w:type="pct" w:w="16%"/>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0,646</w:t>
            </w:r>
          </w:p>
        </w:tc>
        <w:tc>
          <w:tcPr>
            <w:tcW w:type="pct" w:w="18%"/>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0,651</w:t>
            </w:r>
          </w:p>
        </w:tc>
      </w:tr>
      <w:tr>
        <w:trPr>
          <w:cantSplit/>
        </w:trPr>
        <w:tc>
          <w:tcPr>
            <w:tcW w:type="pct" w:w="12%"/>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id654</w:t>
            </w:r>
          </w:p>
        </w:tc>
        <w:tc>
          <w:tcPr>
            <w:tcW w:type="pct" w:w="1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16.07.2017</w:t>
            </w:r>
          </w:p>
        </w:tc>
        <w:tc>
          <w:tcPr>
            <w:tcW w:type="pct" w:w="1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торнадо</w:t>
            </w:r>
          </w:p>
        </w:tc>
        <w:tc>
          <w:tcPr>
            <w:tcW w:type="pct" w:w="18%"/>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0,051</w:t>
            </w:r>
          </w:p>
        </w:tc>
        <w:tc>
          <w:tcPr>
            <w:tcW w:type="pct" w:w="16%"/>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0,055</w:t>
            </w:r>
          </w:p>
        </w:tc>
        <w:tc>
          <w:tcPr>
            <w:tcW w:type="pct" w:w="18%"/>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0,052</w:t>
            </w:r>
          </w:p>
        </w:tc>
      </w:tr>
      <w:tr>
        <w:trPr>
          <w:cantSplit/>
        </w:trPr>
        <w:tc>
          <w:tcPr>
            <w:tcW w:type="pct" w:w="12%"/>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id655</w:t>
            </w:r>
          </w:p>
        </w:tc>
        <w:tc>
          <w:tcPr>
            <w:tcW w:type="pct" w:w="1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30.07.2017</w:t>
            </w:r>
          </w:p>
        </w:tc>
        <w:tc>
          <w:tcPr>
            <w:tcW w:type="pct" w:w="1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шквал</w:t>
            </w:r>
          </w:p>
        </w:tc>
        <w:tc>
          <w:tcPr>
            <w:tcW w:type="pct" w:w="18%"/>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0,701</w:t>
            </w:r>
          </w:p>
        </w:tc>
        <w:tc>
          <w:tcPr>
            <w:tcW w:type="pct" w:w="16%"/>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0,700</w:t>
            </w:r>
          </w:p>
        </w:tc>
        <w:tc>
          <w:tcPr>
            <w:tcW w:type="pct" w:w="18%"/>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w:t>
            </w:r>
          </w:p>
        </w:tc>
      </w:tr>
      <w:tr>
        <w:trPr>
          <w:cantSplit/>
        </w:trPr>
        <w:tc>
          <w:tcPr>
            <w:tcW w:type="pct" w:w="12%"/>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id658</w:t>
            </w:r>
          </w:p>
        </w:tc>
        <w:tc>
          <w:tcPr>
            <w:tcW w:type="pct" w:w="1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29.07.2017</w:t>
            </w:r>
          </w:p>
        </w:tc>
        <w:tc>
          <w:tcPr>
            <w:tcW w:type="pct" w:w="1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шквал</w:t>
            </w:r>
          </w:p>
        </w:tc>
        <w:tc>
          <w:tcPr>
            <w:tcW w:type="pct" w:w="18%"/>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0,568</w:t>
            </w:r>
          </w:p>
        </w:tc>
        <w:tc>
          <w:tcPr>
            <w:tcW w:type="pct" w:w="16%"/>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0,588</w:t>
            </w:r>
          </w:p>
        </w:tc>
        <w:tc>
          <w:tcPr>
            <w:tcW w:type="pct" w:w="18%"/>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0,578</w:t>
            </w:r>
          </w:p>
        </w:tc>
      </w:tr>
      <w:tr>
        <w:trPr>
          <w:cantSplit/>
        </w:trPr>
        <w:tc>
          <w:tcPr>
            <w:tcW w:type="pct" w:w="12%"/>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id666</w:t>
            </w:r>
          </w:p>
        </w:tc>
        <w:tc>
          <w:tcPr>
            <w:tcW w:type="pct" w:w="1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30.07.2017</w:t>
            </w:r>
          </w:p>
        </w:tc>
        <w:tc>
          <w:tcPr>
            <w:tcW w:type="pct" w:w="1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шквал</w:t>
            </w:r>
          </w:p>
        </w:tc>
        <w:tc>
          <w:tcPr>
            <w:tcW w:type="pct" w:w="18%"/>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0,609</w:t>
            </w:r>
          </w:p>
        </w:tc>
        <w:tc>
          <w:tcPr>
            <w:tcW w:type="pct" w:w="16%"/>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0,585</w:t>
            </w:r>
          </w:p>
        </w:tc>
        <w:tc>
          <w:tcPr>
            <w:tcW w:type="pct" w:w="18%"/>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0,583</w:t>
            </w:r>
          </w:p>
        </w:tc>
      </w:tr>
      <w:tr>
        <w:trPr>
          <w:cantSplit/>
        </w:trPr>
        <w:tc>
          <w:tcPr>
            <w:tcW w:type="pct" w:w="12%"/>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id674</w:t>
            </w:r>
          </w:p>
        </w:tc>
        <w:tc>
          <w:tcPr>
            <w:tcW w:type="pct" w:w="1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02.08.2017</w:t>
            </w:r>
          </w:p>
        </w:tc>
        <w:tc>
          <w:tcPr>
            <w:tcW w:type="pct" w:w="1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торнадо</w:t>
            </w:r>
          </w:p>
        </w:tc>
        <w:tc>
          <w:tcPr>
            <w:tcW w:type="pct" w:w="18%"/>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0,764</w:t>
            </w:r>
          </w:p>
        </w:tc>
        <w:tc>
          <w:tcPr>
            <w:tcW w:type="pct" w:w="16%"/>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0,766</w:t>
            </w:r>
          </w:p>
        </w:tc>
        <w:tc>
          <w:tcPr>
            <w:tcW w:type="pct" w:w="18%"/>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0,764</w:t>
            </w:r>
          </w:p>
        </w:tc>
      </w:tr>
      <w:tr>
        <w:trPr>
          <w:cantSplit/>
        </w:trPr>
        <w:tc>
          <w:tcPr>
            <w:tcW w:type="pct" w:w="12%"/>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id683</w:t>
            </w:r>
          </w:p>
        </w:tc>
        <w:tc>
          <w:tcPr>
            <w:tcW w:type="pct" w:w="1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01.08.2017</w:t>
            </w:r>
          </w:p>
        </w:tc>
        <w:tc>
          <w:tcPr>
            <w:tcW w:type="pct" w:w="1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торнадо</w:t>
            </w:r>
          </w:p>
        </w:tc>
        <w:tc>
          <w:tcPr>
            <w:tcW w:type="pct" w:w="18%"/>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0,928</w:t>
            </w:r>
          </w:p>
        </w:tc>
        <w:tc>
          <w:tcPr>
            <w:tcW w:type="pct" w:w="16%"/>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0,922</w:t>
            </w:r>
          </w:p>
        </w:tc>
        <w:tc>
          <w:tcPr>
            <w:tcW w:type="pct" w:w="18%"/>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0,922</w:t>
            </w:r>
          </w:p>
        </w:tc>
      </w:tr>
      <w:tr>
        <w:trPr>
          <w:cantSplit/>
        </w:trPr>
        <w:tc>
          <w:tcPr>
            <w:tcW w:type="pct" w:w="12%"/>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id694</w:t>
            </w:r>
          </w:p>
        </w:tc>
        <w:tc>
          <w:tcPr>
            <w:tcW w:type="pct" w:w="1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19.09.2017</w:t>
            </w:r>
          </w:p>
        </w:tc>
        <w:tc>
          <w:tcPr>
            <w:tcW w:type="pct" w:w="18%"/>
            <w:shd w:fill="FFFFFF"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торнадо</w:t>
            </w:r>
          </w:p>
        </w:tc>
        <w:tc>
          <w:tcPr>
            <w:tcW w:type="pct" w:w="18%"/>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0,908</w:t>
            </w:r>
          </w:p>
        </w:tc>
        <w:tc>
          <w:tcPr>
            <w:tcW w:type="pct" w:w="16%"/>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0,917</w:t>
            </w:r>
          </w:p>
        </w:tc>
        <w:tc>
          <w:tcPr>
            <w:tcW w:type="pct" w:w="18%"/>
            <w:shd w:fill="FFFFFF"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0,912</w:t>
            </w:r>
          </w:p>
        </w:tc>
      </w:tr>
      <w:tr>
        <w:trPr>
          <w:cantSplit/>
        </w:trPr>
        <w:tc>
          <w:tcPr>
            <w:tcW w:type="pct" w:w="12%"/>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id696</w:t>
            </w:r>
          </w:p>
        </w:tc>
        <w:tc>
          <w:tcPr>
            <w:tcW w:type="pct" w:w="1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23.07.2017</w:t>
            </w:r>
          </w:p>
        </w:tc>
        <w:tc>
          <w:tcPr>
            <w:tcW w:type="pct" w:w="18%"/>
            <w:shd w:fill="EDF5F2" w:val="clear"/>
            <w:tcMar>
              <w:top w:type="dxa" w:w="60"/>
              <w:left w:type="dxa" w:w="100"/>
              <w:bottom w:type="dxa" w:w="60"/>
              <w:right w:type="dxa" w:w="100"/>
            </w:tcMar>
          </w:tcPr>
          <w:p>
            <w:pPr>
              <w:spacing w:line="276"/>
              <w:jc w:val="left"/>
            </w:pPr>
            <w:r>
              <w:rPr>
                <w:rFonts w:ascii="Times New Roman" w:eastAsia="SimSun"/>
                <w:b w:val="false"/>
                <w:bCs w:val="false"/>
                <w:color w:val="000000"/>
                <w:sz w:val="20"/>
                <w:szCs w:val="20"/>
              </w:rPr>
              <w:t xml:space="preserve">шквал</w:t>
            </w:r>
          </w:p>
        </w:tc>
        <w:tc>
          <w:tcPr>
            <w:tcW w:type="pct" w:w="18%"/>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0,456</w:t>
            </w:r>
          </w:p>
        </w:tc>
        <w:tc>
          <w:tcPr>
            <w:tcW w:type="pct" w:w="16%"/>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0,443</w:t>
            </w:r>
          </w:p>
        </w:tc>
        <w:tc>
          <w:tcPr>
            <w:tcW w:type="pct" w:w="18%"/>
            <w:shd w:fill="EDF5F2" w:val="clear"/>
            <w:tcMar>
              <w:top w:type="dxa" w:w="60"/>
              <w:left w:type="dxa" w:w="100"/>
              <w:bottom w:type="dxa" w:w="60"/>
              <w:right w:type="dxa" w:w="100"/>
            </w:tcMar>
          </w:tcPr>
          <w:p>
            <w:pPr>
              <w:spacing w:line="276"/>
              <w:jc w:val="right"/>
            </w:pPr>
            <w:r>
              <w:rPr>
                <w:rFonts w:ascii="Times New Roman" w:eastAsia="SimSun"/>
                <w:b w:val="false"/>
                <w:bCs w:val="false"/>
                <w:color w:val="000000"/>
                <w:sz w:val="20"/>
                <w:szCs w:val="20"/>
              </w:rPr>
              <w:t xml:space="preserve">0,444</w:t>
            </w:r>
          </w:p>
        </w:tc>
      </w:tr>
    </w:tbl>
    <w:p>
      <w:pPr>
        <w:spacing w:after="160" w:line="312"/>
        <w:ind w:firstLine="709"/>
        <w:jc w:val="both"/>
      </w:pPr>
      <w:r>
        <w:rPr>
          <w:rFonts w:ascii="Times New Roman" w:eastAsia="SimSun"/>
          <w:color w:val="000000"/>
          <w:sz w:val="24"/>
          <w:szCs w:val="24"/>
        </w:rPr>
        <w:t xml:space="preserve">Кейс ID654 — заведомо вырожденный: полигон безлесен на дату шторма из-за внутригодовой рубки, поэтому AUC около 0,05 ожидаем и подтверждает честность фоновой выборки. На семи событиях этапа 12c (фон без рескора, пост-пост контроли) средний DiD-AUC составил 0,690 против 0,642 у одиночной пары; именно эта разность обосновывает DiD-схему как рабочую метрику плагина.</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Arial" w:eastAsia="SimHei"/>
        <w:color w:val="808080"/>
        <w:sz w:val="18"/>
        <w:szCs w:val="18"/>
      </w:rPr>
      <w:t xml:space="preserve">Реальное тестирование плагина Sentinel-1 Windthrow Detector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SimHei"/>
      <w:b/>
      <w:bCs/>
      <w:color w:val="1A4A3C"/>
      <w:sz w:val="32"/>
      <w:szCs w:val="32"/>
    </w:rPr>
  </w:style>
  <w:style w:type="paragraph" w:styleId="Heading2">
    <w:name w:val="Heading 2"/>
    <w:basedOn w:val="Normal"/>
    <w:next w:val="Normal"/>
    <w:qFormat/>
    <w:pPr>
      <w:spacing w:after="120" w:before="240" w:line="312"/>
      <w:outlineLvl w:val="1"/>
    </w:pPr>
    <w:rPr>
      <w:rFonts w:ascii="Arial" w:eastAsia="SimHei"/>
      <w:b/>
      <w:bCs/>
      <w:color w:val="1A4A3C"/>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Реальное тестирование плагина Sentinel-1 Windthrow Detector</dc:title>
  <dc:creator>Z.ai</dc:creator>
  <cp:lastModifiedBy>Un-named</cp:lastModifiedBy>
  <cp:revision>1</cp:revision>
  <dcterms:created xsi:type="dcterms:W3CDTF">2026-09-06T15:35:01.373Z</dcterms:created>
  <dcterms:modified xsi:type="dcterms:W3CDTF">2026-09-06T15:35:01.374Z</dcterms:modified>
</cp:coreProperties>
</file>

<file path=docProps/custom.xml><?xml version="1.0" encoding="utf-8"?>
<Properties xmlns="http://schemas.openxmlformats.org/officeDocument/2006/custom-properties" xmlns:vt="http://schemas.openxmlformats.org/officeDocument/2006/docPropsVTypes"/>
</file>