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Надир</w:t>
      </w:r>
      <w:r>
        <w:t xml:space="preserve"> </w:t>
      </w:r>
      <w:r>
        <w:t xml:space="preserve">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334000" cy="3555999"/>
            <wp:effectExtent b="0" l="0" r="0" t="0"/>
            <wp:docPr descr="Рис. 1: Подготовил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Подготовил каталог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bookmarkStart w:id="28" w:name="fig:002"/>
      <w:r>
        <w:drawing>
          <wp:inline>
            <wp:extent cx="4081111" cy="4206240"/>
            <wp:effectExtent b="0" l="0" r="0" t="0"/>
            <wp:docPr descr="Рис. 2: Программа в файле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lab6-1.asm</w:t>
      </w:r>
    </w:p>
    <w:p>
      <w:pPr>
        <w:pStyle w:val="BodyText"/>
      </w:pPr>
      <w:r>
        <w:t xml:space="preserve">В данной программе (рис. 2) мы записываем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добавляем значение регистра ebx к значению в регистре eax (add eax, ebx, результат сложения записывается в регистр eax).</w:t>
      </w:r>
      <w:r>
        <w:t xml:space="preserve"> </w:t>
      </w:r>
      <w:r>
        <w:t xml:space="preserve">После этого мы выводим результат.</w:t>
      </w:r>
      <w:r>
        <w:t xml:space="preserve"> </w:t>
      </w:r>
      <w:r>
        <w:t xml:space="preserve">Однако, для использования функции sprintLF, необходимо, чтобы в регистре eax был записан адрес, поэтому мы используем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а затем записываем адрес переменной buf1 в регистр eax (mov eax, buf1) и вызываем функцию sprintLF.</w:t>
      </w:r>
    </w:p>
    <w:p>
      <w:pPr>
        <w:pStyle w:val="CaptionedFigure"/>
      </w:pPr>
      <w:bookmarkStart w:id="32" w:name="fig:003"/>
      <w:r>
        <w:drawing>
          <wp:inline>
            <wp:extent cx="5334000" cy="878983"/>
            <wp:effectExtent b="0" l="0" r="0" t="0"/>
            <wp:docPr descr="Рис. 3: Запуск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lab6-1.asm</w:t>
      </w:r>
    </w:p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t xml:space="preserve"> </w:t>
      </w:r>
      <w:r>
        <w:t xml:space="preserve">Когда мы выполняем команду add eax, ebx, результатом будет сумма кодов - 01101010 (или 106 в десятичном представлении),</w:t>
      </w:r>
      <w:r>
        <w:t xml:space="preserve"> </w:t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(рис. 3)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4)</w:t>
      </w:r>
    </w:p>
    <w:p>
      <w:pPr>
        <w:pStyle w:val="CaptionedFigure"/>
      </w:pPr>
      <w:bookmarkStart w:id="36" w:name="fig:004"/>
      <w:r>
        <w:drawing>
          <wp:inline>
            <wp:extent cx="5159141" cy="3830854"/>
            <wp:effectExtent b="0" l="0" r="0" t="0"/>
            <wp:docPr descr="Рис. 4: Программа в файле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383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lab6-1.asm</w:t>
      </w:r>
    </w:p>
    <w:p>
      <w:pPr>
        <w:pStyle w:val="CaptionedFigure"/>
      </w:pPr>
      <w:bookmarkStart w:id="40" w:name="fig:005"/>
      <w:r>
        <w:drawing>
          <wp:inline>
            <wp:extent cx="5334000" cy="942614"/>
            <wp:effectExtent b="0" l="0" r="0" t="0"/>
            <wp:docPr descr="Рис. 5: Запуск программы lab6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lab6-1.asm</w:t>
      </w:r>
    </w:p>
    <w:p>
      <w:pPr>
        <w:pStyle w:val="BodyText"/>
      </w:pPr>
      <w:r>
        <w:t xml:space="preserve">Как и в предыдущем случае, при выполнении программы мы не получим число 10.</w:t>
      </w:r>
      <w:r>
        <w:t xml:space="preserve"> </w:t>
      </w:r>
      <w:r>
        <w:t xml:space="preserve">Вместо этого выводится символ с кодом 10, который представляет собой символ конца строки</w:t>
      </w:r>
      <w:r>
        <w:t xml:space="preserve"> </w:t>
      </w:r>
      <w:r>
        <w:t xml:space="preserve">(возврат каретки). (рис. 5)</w:t>
      </w:r>
      <w:r>
        <w:t xml:space="preserve"> </w:t>
      </w:r>
      <w:r>
        <w:t xml:space="preserve">Этот символ не отображается в консоли, но он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6)</w:t>
      </w:r>
    </w:p>
    <w:p>
      <w:pPr>
        <w:pStyle w:val="CaptionedFigure"/>
      </w:pPr>
      <w:bookmarkStart w:id="44" w:name="fig:006"/>
      <w:r>
        <w:drawing>
          <wp:inline>
            <wp:extent cx="4494997" cy="3859730"/>
            <wp:effectExtent b="0" l="0" r="0" t="0"/>
            <wp:docPr descr="Рис. 6: Программа в файле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lab6-2.asm</w:t>
      </w:r>
    </w:p>
    <w:p>
      <w:pPr>
        <w:pStyle w:val="CaptionedFigure"/>
      </w:pPr>
      <w:bookmarkStart w:id="48" w:name="fig:007"/>
      <w:r>
        <w:drawing>
          <wp:inline>
            <wp:extent cx="5334000" cy="885248"/>
            <wp:effectExtent b="0" l="0" r="0" t="0"/>
            <wp:docPr descr="Рис. 7: 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lab6-2.asm</w:t>
      </w:r>
    </w:p>
    <w:p>
      <w:pPr>
        <w:pStyle w:val="BodyText"/>
      </w:pPr>
      <w:r>
        <w:t xml:space="preserve">В результате выполнения программы мы получим число 106. (рис. 7)</w:t>
      </w:r>
      <w:r>
        <w:t xml:space="preserve"> </w:t>
      </w:r>
      <w:r>
        <w:t xml:space="preserve">В данном случае, как и в 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предыдущей программы,</w:t>
      </w:r>
      <w:r>
        <w:t xml:space="preserve"> </w:t>
      </w:r>
      <w:r>
        <w:t xml:space="preserve">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числа.(рис. 8)</w:t>
      </w:r>
    </w:p>
    <w:p>
      <w:pPr>
        <w:pStyle w:val="CaptionedFigure"/>
      </w:pPr>
      <w:bookmarkStart w:id="52" w:name="fig:008"/>
      <w:r>
        <w:drawing>
          <wp:inline>
            <wp:extent cx="3513221" cy="3224463"/>
            <wp:effectExtent b="0" l="0" r="0" t="0"/>
            <wp:docPr descr="Рис. 8: Программа в файле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10.(рис. 9)</w:t>
      </w:r>
    </w:p>
    <w:p>
      <w:pPr>
        <w:pStyle w:val="CaptionedFigure"/>
      </w:pPr>
      <w:bookmarkStart w:id="56" w:name="fig:009"/>
      <w:r>
        <w:drawing>
          <wp:inline>
            <wp:extent cx="5334000" cy="863957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строки.(рис. 10)</w:t>
      </w:r>
    </w:p>
    <w:p>
      <w:pPr>
        <w:pStyle w:val="CaptionedFigure"/>
      </w:pPr>
      <w:bookmarkStart w:id="60" w:name="fig:010"/>
      <w:r>
        <w:drawing>
          <wp:inline>
            <wp:extent cx="5334000" cy="620928"/>
            <wp:effectExtent b="0" l="0" r="0" t="0"/>
            <wp:docPr descr="Рис. 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lab6-2.asm</w:t>
      </w:r>
    </w:p>
    <w:p>
      <w:pPr>
        <w:pStyle w:val="BodyTex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 (рис. 11) (рис. 12)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4754880" cy="5197642"/>
            <wp:effectExtent b="0" l="0" r="0" t="0"/>
            <wp:docPr descr="Рис. 11: Программа в файле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9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lab6-3.asm</w:t>
      </w:r>
    </w:p>
    <w:p>
      <w:pPr>
        <w:pStyle w:val="CaptionedFigure"/>
      </w:pPr>
      <w:bookmarkStart w:id="68" w:name="fig:012"/>
      <w:r>
        <w:drawing>
          <wp:inline>
            <wp:extent cx="5334000" cy="856717"/>
            <wp:effectExtent b="0" l="0" r="0" t="0"/>
            <wp:docPr descr="Рис. 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13) (рис. 14)</w:t>
      </w:r>
    </w:p>
    <w:p>
      <w:pPr>
        <w:pStyle w:val="CaptionedFigure"/>
      </w:pPr>
      <w:bookmarkStart w:id="71" w:name="fig:013"/>
      <w:r>
        <w:drawing>
          <wp:inline>
            <wp:extent cx="5334000" cy="856717"/>
            <wp:effectExtent b="0" l="0" r="0" t="0"/>
            <wp:docPr descr="Рис. 13: Программа в файле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13: Программа в файле lab6-3.asm</w:t>
      </w:r>
    </w:p>
    <w:p>
      <w:pPr>
        <w:pStyle w:val="CaptionedFigure"/>
      </w:pPr>
      <w:bookmarkStart w:id="75" w:name="fig:014"/>
      <w:r>
        <w:drawing>
          <wp:inline>
            <wp:extent cx="4620126" cy="5399772"/>
            <wp:effectExtent b="0" l="0" r="0" t="0"/>
            <wp:docPr descr="Рис. 14: Запуск программы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14: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15) (рис. 16)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9" w:name="fig:015"/>
      <w:r>
        <w:drawing>
          <wp:inline>
            <wp:extent cx="4966635" cy="5255393"/>
            <wp:effectExtent b="0" l="0" r="0" t="0"/>
            <wp:docPr descr="Рис. 15: Программа в файле variant.asm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525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15: Программа в файле variant.asm</w:t>
      </w:r>
    </w:p>
    <w:p>
      <w:pPr>
        <w:pStyle w:val="CaptionedFigure"/>
      </w:pPr>
      <w:bookmarkStart w:id="83" w:name="fig:016"/>
      <w:r>
        <w:drawing>
          <wp:inline>
            <wp:extent cx="5334000" cy="1051983"/>
            <wp:effectExtent b="0" l="0" r="0" t="0"/>
            <wp:docPr descr="Рис. 16: Запуск программы variant.asm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16: Запуск программы variant.asm</w:t>
      </w:r>
    </w:p>
    <w:bookmarkStart w:id="84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используются следующие инструкции?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используется для компиляции кода на языке ассемблера NASM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</w:t>
      </w:r>
    </w:p>
    <w:bookmarkEnd w:id="84"/>
    <w:bookmarkStart w:id="93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11 -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x</m:t>
              </m:r>
            </m:e>
          </m:d>
          <m:r>
            <m:rPr>
              <m:sty m:val="p"/>
            </m:rPr>
            <m:t>−</m:t>
          </m:r>
          <m:r>
            <m:t>10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7</m:t>
          </m:r>
        </m:oMath>
      </m:oMathPara>
    </w:p>
    <w:p>
      <w:pPr>
        <w:pStyle w:val="FirstParagraph"/>
      </w:pPr>
      <w:r>
        <w:t xml:space="preserve">(рис. 17) (рис. 18)</w:t>
      </w:r>
    </w:p>
    <w:p>
      <w:pPr>
        <w:pStyle w:val="CaptionedFigure"/>
      </w:pPr>
      <w:bookmarkStart w:id="88" w:name="fig:017"/>
      <w:r>
        <w:drawing>
          <wp:inline>
            <wp:extent cx="5255393" cy="5130265"/>
            <wp:effectExtent b="0" l="0" r="0" t="0"/>
            <wp:docPr descr="Рис. 17: Программа в файле tas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Программа в файле task.asm</w:t>
      </w:r>
    </w:p>
    <w:p>
      <w:pPr>
        <w:pStyle w:val="CaptionedFigure"/>
      </w:pPr>
      <w:bookmarkStart w:id="92" w:name="fig:018"/>
      <w:r>
        <w:drawing>
          <wp:inline>
            <wp:extent cx="5334000" cy="1697181"/>
            <wp:effectExtent b="0" l="0" r="0" t="0"/>
            <wp:docPr descr="Рис. 18: Запуск программы task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программы task.asm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Надир Гасанли</dc:creator>
  <dc:language>ru-RU</dc:language>
  <cp:keywords/>
  <dcterms:created xsi:type="dcterms:W3CDTF">2024-12-18T15:13:14Z</dcterms:created>
  <dcterms:modified xsi:type="dcterms:W3CDTF">2024-12-18T15:13:14Z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