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KOCAELİ ÜNİVERSİTESİ · TEKNOLOJİ FAKÜLTESİ</w:t>
      </w:r>
    </w:p>
    <w:p>
      <w:pPr>
        <w:spacing w:after="240"/>
        <w:jc w:val="center"/>
      </w:pPr>
      <w:r>
        <w:rPr>
          <w:rFonts w:ascii="Times New Roman" w:cs="Times New Roman" w:eastAsia="Times New Roman" w:hAnsi="Times New Roman"/>
          <w:b/>
          <w:bCs/>
          <w:sz w:val="24"/>
          <w:szCs w:val="24"/>
        </w:rPr>
        <w:t xml:space="preserve">Enerji Sistemleri Mühendisliği Bölümü · Bitirme Projesi Önerisi</w:t>
      </w:r>
    </w:p>
    <w:p>
      <w:pPr>
        <w:spacing w:after="240"/>
        <w:jc w:val="center"/>
      </w:pPr>
      <w:r>
        <w:rPr>
          <w:rFonts w:ascii="Times New Roman" w:cs="Times New Roman" w:eastAsia="Times New Roman" w:hAnsi="Times New Roman"/>
          <w:b/>
          <w:bCs/>
          <w:sz w:val="28"/>
          <w:szCs w:val="28"/>
        </w:rPr>
        <w:t xml:space="preserve">Türkiye Emisyon Ticaret Sistemi Altında Sanayi Tesislerinde Enerji Verimliliği Önlemlerinin Doğrudan ve Dolaylı Karbon Maliyeti Etkileriyle Tekno-Ekonomik Değerlendirmesi</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268"/>
        <w:gridCol w:w="5952"/>
      </w:tblGrid>
      <w:tr>
        <w:trPr>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Öğrenci</w:t>
            </w:r>
          </w:p>
        </w:tc>
        <w:tc>
          <w:tcPr>
            <w:tcW w:type="dxa" w:w="59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[Ad Soyad], [Öğrenci No]</w:t>
            </w:r>
          </w:p>
        </w:tc>
      </w:tr>
      <w:tr>
        <w:trPr>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Danışman</w:t>
            </w:r>
          </w:p>
        </w:tc>
        <w:tc>
          <w:tcPr>
            <w:tcW w:type="dxa" w:w="59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[Unvan Ad Soyad]</w:t>
            </w:r>
          </w:p>
        </w:tc>
      </w:tr>
      <w:tr>
        <w:trPr>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Dönem</w:t>
            </w:r>
          </w:p>
        </w:tc>
        <w:tc>
          <w:tcPr>
            <w:tcW w:type="dxa" w:w="59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2026–2027 Eğitim-Öğretim Yılı</w:t>
            </w:r>
          </w:p>
        </w:tc>
      </w:tr>
      <w:tr>
        <w:trPr>
          <w:tblHeader w:val="false"/>
        </w:trPr>
        <w:tc>
          <w:tcPr>
            <w:tcW w:type="dxa" w:w="226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Proje türü</w:t>
            </w:r>
          </w:p>
        </w:tc>
        <w:tc>
          <w:tcPr>
            <w:tcW w:type="dxa" w:w="595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Araştırma ve modelleme (tekno-ekonomik analiz)</w:t>
            </w:r>
          </w:p>
        </w:tc>
      </w:tr>
    </w:tbl>
    <w:p>
      <w:pPr>
        <w:pStyle w:val="Heading1"/>
        <w:spacing w:after="120" w:before="240"/>
      </w:pPr>
      <w:r>
        <w:rPr>
          <w:rFonts w:ascii="Times New Roman" w:cs="Times New Roman" w:eastAsia="Times New Roman" w:hAnsi="Times New Roman"/>
          <w:b/>
          <w:bCs/>
          <w:sz w:val="24"/>
          <w:szCs w:val="24"/>
        </w:rPr>
        <w:t xml:space="preserve">1. KONU VE AMAÇ</w:t>
      </w:r>
    </w:p>
    <w:p>
      <w:pPr>
        <w:spacing w:after="120" w:line="276"/>
        <w:jc w:val="both"/>
      </w:pPr>
      <w:r>
        <w:rPr>
          <w:rFonts w:ascii="Times New Roman" w:cs="Times New Roman" w:eastAsia="Times New Roman" w:hAnsi="Times New Roman"/>
          <w:sz w:val="24"/>
          <w:szCs w:val="24"/>
        </w:rPr>
        <w:t xml:space="preserve">Türkiye Emisyon Ticaret Sistemi Yönetmeliği 27.08.2026 tarihli ve 33353 sayılı Resmî Gazete'de yayımlanarak yürürlüğe girmiştir. Yönetmelikle EK-1'de sayılan faaliyetleri yürüten ve yıllık emisyonu 50.000 t CO₂e'yi aşan tesisler, emisyonlarına denk tahsisat teslim etmekle yükümlü hâle gelmiştir. Böylece karbon, sanayi tesislerinin maliyet yapısına yeni bir girdi olarak eklenmektedir.</w:t>
      </w:r>
    </w:p>
    <w:p>
      <w:pPr>
        <w:spacing w:after="120" w:line="276"/>
        <w:jc w:val="both"/>
      </w:pPr>
      <w:r>
        <w:rPr>
          <w:rFonts w:ascii="Times New Roman" w:cs="Times New Roman" w:eastAsia="Times New Roman" w:hAnsi="Times New Roman"/>
          <w:sz w:val="24"/>
          <w:szCs w:val="24"/>
        </w:rPr>
        <w:t xml:space="preserve">Karbon fiyatı bir sanayi tesisini iki kanaldan etkiler. Doğrudan kanalda tesis, kendi yakıt yakımından kaynaklanan emisyonu için tahsisat teslim eder ve belirli bir miktar ücretsiz tahsisat alır. Dolaylı kanalda ise tesis satın aldığı elektrik üzerinden etkilenir; fosil yakıtlı santrallerin karbon maliyeti elektrik piyasası takas fiyatına (PTF) yansır.</w:t>
      </w:r>
    </w:p>
    <w:p>
      <w:pPr>
        <w:spacing w:after="120" w:line="276"/>
        <w:jc w:val="both"/>
      </w:pPr>
      <w:r>
        <w:rPr>
          <w:rFonts w:ascii="Times New Roman" w:cs="Times New Roman" w:eastAsia="Times New Roman" w:hAnsi="Times New Roman"/>
          <w:sz w:val="24"/>
          <w:szCs w:val="24"/>
        </w:rPr>
        <w:t xml:space="preserve">Bu projenin amacı, enerji verimliliği önlemlerinin gerçek ekonomik değerini bu iki kanalı birlikte hesaba katarak belirlemek ve önlemlerin öncelik sırasının karbon fiyatına göre nasıl değiştiğini ortaya koymaktır.</w:t>
      </w:r>
    </w:p>
    <w:p>
      <w:pPr>
        <w:spacing w:after="60"/>
        <w:jc w:val="both"/>
      </w:pPr>
      <w:r>
        <w:rPr>
          <w:rFonts w:ascii="Times New Roman" w:cs="Times New Roman" w:eastAsia="Times New Roman" w:hAnsi="Times New Roman"/>
          <w:b/>
          <w:bCs/>
          <w:sz w:val="24"/>
          <w:szCs w:val="24"/>
        </w:rPr>
        <w:t xml:space="preserve">Araştırma soruları:</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Karbon fiyatı Türkiye gün öncesi elektrik piyasasında PTF'ye hangi oranda yansır ve santrallerin arz sıralaması nasıl değişir?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Kıyas değeri, ücretsiz tahsisat oranı ve sektörel katsayı tüm tesisler için ortak olmakla birlikte faaliyet seviyesi tesise özgüdür (m. 13/5, 13/7). Isı ve yakıt kıyasına dayalı alt tesislerde verimlilik önlemi faaliyet seviyesini de düşürdüğünde, önlemin karbon getirisinin ne kadarı ücretsiz tahsisat azalmasıyla dengelenir ve bu oran alt tesis türüne ve yakıt cinsine göre nasıl değişir?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Doğrudan ve dolaylı karbon etkileri birlikte değerlendirildiğinde, verimlilik önlemlerinin net bugünkü değeri ve marjinal azaltım maliyeti sıralaması nasıl değişir?</w:t>
      </w:r>
    </w:p>
    <w:p>
      <w:pPr>
        <w:pStyle w:val="Heading1"/>
        <w:spacing w:after="120" w:before="240"/>
      </w:pPr>
      <w:r>
        <w:rPr>
          <w:rFonts w:ascii="Times New Roman" w:cs="Times New Roman" w:eastAsia="Times New Roman" w:hAnsi="Times New Roman"/>
          <w:b/>
          <w:bCs/>
          <w:sz w:val="24"/>
          <w:szCs w:val="24"/>
        </w:rPr>
        <w:t xml:space="preserve">2. ÖZGÜN DEĞER</w:t>
      </w:r>
    </w:p>
    <w:p>
      <w:pPr>
        <w:spacing w:after="120" w:line="276"/>
        <w:jc w:val="both"/>
      </w:pPr>
      <w:r>
        <w:rPr>
          <w:rFonts w:ascii="Times New Roman" w:cs="Times New Roman" w:eastAsia="Times New Roman" w:hAnsi="Times New Roman"/>
          <w:sz w:val="24"/>
          <w:szCs w:val="24"/>
        </w:rPr>
        <w:t xml:space="preserve">Yönetmeliğin yeni yürürlüğe girmiş olması nedeniyle, gerçek kategori eşikleri ve ücretsiz tahsisat formülü (m. 13/7) kullanılarak tesis düzeyinde yapılmış bir verimlilik değerlendirmesi ön taramada tespit edilmemiştir. Türkiye elektrik piyasasındaki arz sıralaması çalışmaları ağırlıklı olarak yenilenebilir enerjinin fiyat etkisine odaklanmaktadır. Karbon fiyatının PTF'ye saatlik geçişini gerçek piyasa verisiyle inceleyen bir çalışmaya ise rastlanmamıştır. Tahsisatın faaliyet seviyesine bağlanmasının işletme kararlarını etkileyebildiği AB ETS için gösterilmiştir (Branger vd., 2015). Türkiye'de faaliyet seviyesi her sistem yılı için güncellendiğinden (m. 13/5) bu etkileşim doğrudan ve aynı yıl içinde ortaya çıkar; ancak Türkiye'nin tahsisat formülü ve bir enerji verimliliği önlem paketi üzerinden çalışılmamıştır.</w:t>
      </w:r>
    </w:p>
    <w:p>
      <w:pPr>
        <w:spacing w:after="120" w:line="276"/>
        <w:jc w:val="both"/>
      </w:pPr>
      <w:r>
        <w:rPr>
          <w:rFonts w:ascii="Times New Roman" w:cs="Times New Roman" w:eastAsia="Times New Roman" w:hAnsi="Times New Roman"/>
          <w:sz w:val="24"/>
          <w:szCs w:val="24"/>
        </w:rPr>
        <w:t xml:space="preserve">Projenin temel katkısı, önlemleri karbon değerini aldıkları kanala göre sınıflandırmasıdır: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Elektrik tasarrufu sağlayan önlemler </w:t>
      </w:r>
      <w:r>
        <w:rPr>
          <w:rFonts w:ascii="Times New Roman" w:cs="Times New Roman" w:eastAsia="Times New Roman" w:hAnsi="Times New Roman"/>
          <w:sz w:val="24"/>
          <w:szCs w:val="24"/>
        </w:rPr>
        <w:t xml:space="preserve">(değişken hızlı sürücü, basınçlı hava, çatı güneş enerjisi santrali) tesisin ETS emisyonunu azaltmaz; karbon değerini yalnızca elektrik fiyatı üzerinden alır.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Yakıt tasarrufu sağlayan önlemler </w:t>
      </w:r>
      <w:r>
        <w:rPr>
          <w:rFonts w:ascii="Times New Roman" w:cs="Times New Roman" w:eastAsia="Times New Roman" w:hAnsi="Times New Roman"/>
          <w:sz w:val="24"/>
          <w:szCs w:val="24"/>
        </w:rPr>
        <w:t xml:space="preserve">(atık ısı geri kazanımı, kazan verimi, izolasyon) doğrudan emisyonu azaltır. Isı veya yakıt kıyasına dayalı alt tesislerde ücretsiz tahsisat da azaldığından karbon getirisinin bir kısmı dengelenir; enerji maliyeti tasarrufu ise olduğu gibi kalır. Ürün kıyasına dayalı alt tesislerde bu dengelenme oluşmaz.</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Elektrifikasyon </w:t>
      </w:r>
      <w:r>
        <w:rPr>
          <w:rFonts w:ascii="Times New Roman" w:cs="Times New Roman" w:eastAsia="Times New Roman" w:hAnsi="Times New Roman"/>
          <w:sz w:val="24"/>
          <w:szCs w:val="24"/>
        </w:rPr>
        <w:t xml:space="preserve">(doğal gaz kazanı yerine endüstriyel ısı pompası) üç etkinin çatıştığı durumdur: doğrudan emisyon ve tahsisat düşer, karbon yüklü elektrik tüketimi artar.</w:t>
      </w:r>
    </w:p>
    <w:p>
      <w:pPr>
        <w:pStyle w:val="Heading1"/>
        <w:spacing w:after="120" w:before="240"/>
      </w:pPr>
      <w:r>
        <w:rPr>
          <w:rFonts w:ascii="Times New Roman" w:cs="Times New Roman" w:eastAsia="Times New Roman" w:hAnsi="Times New Roman"/>
          <w:b/>
          <w:bCs/>
          <w:sz w:val="24"/>
          <w:szCs w:val="24"/>
        </w:rPr>
        <w:t xml:space="preserve">3. YÖNTEM</w:t>
      </w:r>
    </w:p>
    <w:p>
      <w:pPr>
        <w:spacing w:after="120" w:line="276"/>
        <w:jc w:val="both"/>
      </w:pPr>
      <w:r>
        <w:rPr>
          <w:rFonts w:ascii="Times New Roman" w:cs="Times New Roman" w:eastAsia="Times New Roman" w:hAnsi="Times New Roman"/>
          <w:sz w:val="24"/>
          <w:szCs w:val="24"/>
        </w:rPr>
        <w:t xml:space="preserve">Çalışma birbirine bağlı üç modülden oluşur. Her modülün çıktısı bir sonrakinin girdisidir.</w:t>
      </w:r>
    </w:p>
    <w:p>
      <w:pPr>
        <w:spacing w:after="120" w:line="276"/>
        <w:jc w:val="both"/>
      </w:pPr>
      <w:r>
        <w:rPr>
          <w:rFonts w:ascii="Times New Roman" w:cs="Times New Roman" w:eastAsia="Times New Roman" w:hAnsi="Times New Roman"/>
          <w:b/>
          <w:bCs/>
          <w:sz w:val="24"/>
          <w:szCs w:val="24"/>
        </w:rPr>
        <w:t xml:space="preserve">M1 — Elektrik fiyat modeli. </w:t>
      </w:r>
      <w:r>
        <w:rPr>
          <w:rFonts w:ascii="Times New Roman" w:cs="Times New Roman" w:eastAsia="Times New Roman" w:hAnsi="Times New Roman"/>
          <w:sz w:val="24"/>
          <w:szCs w:val="24"/>
        </w:rPr>
        <w:t xml:space="preserve">EPİAŞ Şeffaflık Platformu'ndan 2024–2025 dönemine ait saatlik PTF, kaynak bazında üretim ve tüketim verileri alınır. Her teknoloji için marjinal maliyet şu şekilde tanımlanır: MM = yakıt fiyatı / verim + değişken işletme maliyeti + karbon fiyatı × emisyon faktörü. Saatlik arz sıralaması modeli karbon fiyatı sıfırken gerçek PTF ile kalibre edilir. Ardından 0–80 €/t aralığındaki senaryolarda PTF, geçiş oranı ve kömürden gaza geçiş fiyatı hesaplanır.</w:t>
      </w:r>
    </w:p>
    <w:p>
      <w:pPr>
        <w:spacing w:after="120" w:line="276"/>
        <w:jc w:val="both"/>
      </w:pPr>
      <w:r>
        <w:rPr>
          <w:rFonts w:ascii="Times New Roman" w:cs="Times New Roman" w:eastAsia="Times New Roman" w:hAnsi="Times New Roman"/>
          <w:b/>
          <w:bCs/>
          <w:sz w:val="24"/>
          <w:szCs w:val="24"/>
        </w:rPr>
        <w:t xml:space="preserve">M2 — Tesis modeli. </w:t>
      </w:r>
      <w:r>
        <w:rPr>
          <w:rFonts w:ascii="Times New Roman" w:cs="Times New Roman" w:eastAsia="Times New Roman" w:hAnsi="Times New Roman"/>
          <w:sz w:val="24"/>
          <w:szCs w:val="24"/>
        </w:rPr>
        <w:t xml:space="preserve">Anonimleştirilmiş gerçek bir sanayi tesisi ya da literatür verisiyle kurgulanan tipik bir tesis için emisyon (Faaliyet verisi × Emisyon faktörü × Oksidasyon faktörü, EK-6), tesis kategorisi (m. 4, m. 5), alt tesis bazında ücretsiz tahsisat (Kıyas değeri × Ücretsiz tahsisat oranı × Sektörel faaliyet katsayısı × Faaliyet seviyesi, m. 13/7) ve tahsisat açığı hesaplanır.</w:t>
      </w:r>
    </w:p>
    <w:p>
      <w:pPr>
        <w:spacing w:after="120" w:line="276"/>
        <w:jc w:val="both"/>
      </w:pPr>
      <w:r>
        <w:rPr>
          <w:rFonts w:ascii="Times New Roman" w:cs="Times New Roman" w:eastAsia="Times New Roman" w:hAnsi="Times New Roman"/>
          <w:b/>
          <w:bCs/>
          <w:sz w:val="24"/>
          <w:szCs w:val="24"/>
        </w:rPr>
        <w:t xml:space="preserve">M3 — Önlem değerlendirmesi. </w:t>
      </w:r>
      <w:r>
        <w:rPr>
          <w:rFonts w:ascii="Times New Roman" w:cs="Times New Roman" w:eastAsia="Times New Roman" w:hAnsi="Times New Roman"/>
          <w:sz w:val="24"/>
          <w:szCs w:val="24"/>
        </w:rPr>
        <w:t xml:space="preserve">Tesis için 6–8 verimlilik önlemi tanımlanır ve her önlemin yıllık net faydası şöyle hesaplanır:</w:t>
      </w:r>
    </w:p>
    <w:p>
      <w:pPr>
        <w:spacing w:after="120" w:before="60"/>
        <w:jc w:val="center"/>
      </w:pPr>
      <w:r>
        <w:rPr>
          <w:rFonts w:ascii="Times New Roman" w:cs="Times New Roman" w:eastAsia="Times New Roman" w:hAnsi="Times New Roman"/>
          <w:i w:val="false"/>
          <w:iCs w:val="false"/>
          <w:sz w:val="24"/>
          <w:szCs w:val="24"/>
        </w:rPr>
        <w:t xml:space="preserve">Net fayda = Enerji tasarrufu + Azalan emisyon × p</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Kaybedilen ücretsiz tahsisat × p</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Elektrik tasarrufu × ΔPTF(p</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Burada p</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karbon fiyatını, ΔPTF(p</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ise M1'den gelen karbon kaynaklı elektrik fiyatı artışını ifade eder. Her önlem için net bugünkü değer (NBD), iç verim oranı (İVO) ve geri ödeme süresi karbon fiyatı senaryolarında hesaplanır; marjinal azaltım maliyet eğrisi (MACC) çizilir ve duyarlılık analizi yapılır. Hesaplamalar Python (pandas, eptr2, matplotlib) ile yürütülür; sonuçlar Excel tabanlı bir karar aracında toplanır.</w:t>
      </w:r>
    </w:p>
    <w:p>
      <w:pPr>
        <w:pStyle w:val="Heading1"/>
        <w:spacing w:after="120" w:before="240"/>
      </w:pPr>
      <w:r>
        <w:rPr>
          <w:rFonts w:ascii="Times New Roman" w:cs="Times New Roman" w:eastAsia="Times New Roman" w:hAnsi="Times New Roman"/>
          <w:b/>
          <w:bCs/>
          <w:sz w:val="24"/>
          <w:szCs w:val="24"/>
        </w:rPr>
        <w:t xml:space="preserve">4. KAPSAM VE SINIRLILIKLAR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Elektrik piyasası modeli gün öncesi piyasa ile sınırlıdır; dengeleme piyasası ve ikili anlaşmalar kapsam dışıdır.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PTF'ye uygulanan azami fiyat tavanı, düzenlenmiş doğal gaz tarifesi ve barajlı hidroelektrik santrallerin su değeri, modelde basitleştirilmiş varsayımlarla temsil edilir.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Gerçek tesis verisi kullanılırsa müşteri adı, sözleşme bedeli ve birim fiyatlar anonimleştirilir.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Kıyas değerleri ve sektörel katsayılar henüz ilan edilmemişse AB ETS değerleri referans alınır ve bu durum açıkça belirtilir.</w:t>
      </w:r>
    </w:p>
    <w:p>
      <w:pPr>
        <w:pStyle w:val="Heading1"/>
        <w:spacing w:after="120" w:before="240"/>
      </w:pPr>
      <w:r>
        <w:rPr>
          <w:rFonts w:ascii="Times New Roman" w:cs="Times New Roman" w:eastAsia="Times New Roman" w:hAnsi="Times New Roman"/>
          <w:b/>
          <w:bCs/>
          <w:sz w:val="24"/>
          <w:szCs w:val="24"/>
        </w:rPr>
        <w:t xml:space="preserve">5. BEKLENEN ÇIKTILAR</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Karbon fiyatının Türkiye elektrik piyasasına saatlik geçiş oranı ve kömürden gaza geçiş eşiği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Alt tesis türüne göre verimlilik yatırımı ile ücretsiz tahsisat arasındaki etkileşimin sayısal gösterimi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Önlem türüne göre karbon değerinin kanallara ayrıştırıldığı MACC ve NBD tabloları</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Tesis verisi girilerek kullanılabilecek Excel/Python tabanlı karar aracı</w:t>
      </w:r>
    </w:p>
    <w:p>
      <w:pPr>
        <w:pStyle w:val="Heading1"/>
        <w:spacing w:after="120" w:before="240"/>
      </w:pPr>
      <w:r>
        <w:rPr>
          <w:rFonts w:ascii="Times New Roman" w:cs="Times New Roman" w:eastAsia="Times New Roman" w:hAnsi="Times New Roman"/>
          <w:b/>
          <w:bCs/>
          <w:sz w:val="24"/>
          <w:szCs w:val="24"/>
        </w:rPr>
        <w:t xml:space="preserve">6. İŞ-ZAMAN ÇİZELGESİ</w:t>
      </w:r>
    </w:p>
    <w:p>
      <w:pPr>
        <w:spacing w:after="80" w:before="120"/>
      </w:pPr>
      <w:r>
        <w:rPr>
          <w:rFonts w:ascii="Times New Roman" w:cs="Times New Roman" w:eastAsia="Times New Roman" w:hAnsi="Times New Roman"/>
          <w:b/>
          <w:bCs/>
          <w:sz w:val="20"/>
          <w:szCs w:val="20"/>
        </w:rPr>
        <w:t xml:space="preserve">Tablo 1 Proje iş paketleri ve takvimi</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814"/>
        <w:gridCol w:w="4365"/>
        <w:gridCol w:w="2041"/>
      </w:tblGrid>
      <w:tr>
        <w:trPr>
          <w:tblHeader/>
        </w:trPr>
        <w:tc>
          <w:tcPr>
            <w:tcW w:type="dxa" w:w="1814"/>
            <w:tcBorders>
              <w:top w:val="single" w:color="808080" w:sz="4"/>
              <w:left w:val="single" w:color="808080" w:sz="4"/>
              <w:bottom w:val="single" w:color="808080" w:sz="4"/>
              <w:right w:val="single" w:color="808080" w:sz="4"/>
            </w:tcBorders>
            <w:shd w:fill="E7ECE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Dönem</w:t>
            </w:r>
          </w:p>
        </w:tc>
        <w:tc>
          <w:tcPr>
            <w:tcW w:type="dxa" w:w="4365"/>
            <w:tcBorders>
              <w:top w:val="single" w:color="808080" w:sz="4"/>
              <w:left w:val="single" w:color="808080" w:sz="4"/>
              <w:bottom w:val="single" w:color="808080" w:sz="4"/>
              <w:right w:val="single" w:color="808080" w:sz="4"/>
            </w:tcBorders>
            <w:shd w:fill="E7ECE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İş paketi</w:t>
            </w:r>
          </w:p>
        </w:tc>
        <w:tc>
          <w:tcPr>
            <w:tcW w:type="dxa" w:w="2041"/>
            <w:tcBorders>
              <w:top w:val="single" w:color="808080" w:sz="4"/>
              <w:left w:val="single" w:color="808080" w:sz="4"/>
              <w:bottom w:val="single" w:color="808080" w:sz="4"/>
              <w:right w:val="single" w:color="808080" w:sz="4"/>
            </w:tcBorders>
            <w:shd w:fill="E7ECE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Çıktı</w:t>
            </w:r>
          </w:p>
        </w:tc>
      </w:tr>
      <w:tr>
        <w:trPr>
          <w:tblHeader w:val="false"/>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Ekim–Kasım 2026</w:t>
            </w:r>
          </w:p>
        </w:tc>
        <w:tc>
          <w:tcPr>
            <w:tcW w:type="dxa" w:w="436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Literatür taraması; yönetmelik formüllerinin çözümlenmesi; tesis verisi talebi</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Literatür özeti, M2 taslağı</w:t>
            </w:r>
          </w:p>
        </w:tc>
      </w:tr>
      <w:tr>
        <w:trPr>
          <w:tblHeader w:val="false"/>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Aralık 2026</w:t>
            </w:r>
          </w:p>
        </w:tc>
        <w:tc>
          <w:tcPr>
            <w:tcW w:type="dxa" w:w="436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EPİAŞ verisinin çekilmesi ve temizlenmesi; tesis verisinin derlenmesi</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Veri seti</w:t>
            </w:r>
          </w:p>
        </w:tc>
      </w:tr>
      <w:tr>
        <w:trPr>
          <w:tblHeader w:val="false"/>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Ocak–Şubat 2027</w:t>
            </w:r>
          </w:p>
        </w:tc>
        <w:tc>
          <w:tcPr>
            <w:tcW w:type="dxa" w:w="436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M1 arz sıralaması modeli ve kalibrasyonu</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Geçiş oranı sonuçları</w:t>
            </w:r>
          </w:p>
        </w:tc>
      </w:tr>
      <w:tr>
        <w:trPr>
          <w:tblHeader w:val="false"/>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Mart 2027</w:t>
            </w:r>
          </w:p>
        </w:tc>
        <w:tc>
          <w:tcPr>
            <w:tcW w:type="dxa" w:w="436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M2 tesis modeli; önlemlerin teknik hesabı</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Önlem tablosu</w:t>
            </w:r>
          </w:p>
        </w:tc>
      </w:tr>
      <w:tr>
        <w:trPr>
          <w:tblHeader w:val="false"/>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Nisan 2027</w:t>
            </w:r>
          </w:p>
        </w:tc>
        <w:tc>
          <w:tcPr>
            <w:tcW w:type="dxa" w:w="436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M3 senaryolar, NBD/İVO, MACC, duyarlılık analizi, karar aracı</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Sonuç grafikleri, araç</w:t>
            </w:r>
          </w:p>
        </w:tc>
      </w:tr>
      <w:tr>
        <w:trPr>
          <w:tblHeader w:val="false"/>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Mayıs 2027</w:t>
            </w:r>
          </w:p>
        </w:tc>
        <w:tc>
          <w:tcPr>
            <w:tcW w:type="dxa" w:w="436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Tez yazımı ve sunum hazırlığı</w:t>
            </w:r>
          </w:p>
        </w:tc>
        <w:tc>
          <w:tcPr>
            <w:tcW w:type="dxa" w:w="2041"/>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Tez, sunum</w:t>
            </w:r>
          </w:p>
        </w:tc>
      </w:tr>
    </w:tbl>
    <w:p>
      <w:pPr>
        <w:pStyle w:val="Heading1"/>
        <w:spacing w:after="120" w:before="240"/>
      </w:pPr>
      <w:r>
        <w:rPr>
          <w:rFonts w:ascii="Times New Roman" w:cs="Times New Roman" w:eastAsia="Times New Roman" w:hAnsi="Times New Roman"/>
          <w:b/>
          <w:bCs/>
          <w:sz w:val="24"/>
          <w:szCs w:val="24"/>
        </w:rPr>
        <w:t xml:space="preserve">7. RİSKLER VE ÖNLEMLER</w:t>
      </w:r>
    </w:p>
    <w:p>
      <w:pPr>
        <w:spacing w:after="80" w:before="120"/>
      </w:pPr>
      <w:r>
        <w:rPr>
          <w:rFonts w:ascii="Times New Roman" w:cs="Times New Roman" w:eastAsia="Times New Roman" w:hAnsi="Times New Roman"/>
          <w:b/>
          <w:bCs/>
          <w:sz w:val="20"/>
          <w:szCs w:val="20"/>
        </w:rPr>
        <w:t xml:space="preserve">Tablo 2 Proje riskleri ve alternatif planlar</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835"/>
        <w:gridCol w:w="5385"/>
      </w:tblGrid>
      <w:tr>
        <w:trPr>
          <w:tblHeader/>
        </w:trPr>
        <w:tc>
          <w:tcPr>
            <w:tcW w:type="dxa" w:w="2835"/>
            <w:tcBorders>
              <w:top w:val="single" w:color="808080" w:sz="4"/>
              <w:left w:val="single" w:color="808080" w:sz="4"/>
              <w:bottom w:val="single" w:color="808080" w:sz="4"/>
              <w:right w:val="single" w:color="808080" w:sz="4"/>
            </w:tcBorders>
            <w:shd w:fill="E7ECE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Risk</w:t>
            </w:r>
          </w:p>
        </w:tc>
        <w:tc>
          <w:tcPr>
            <w:tcW w:type="dxa" w:w="5385"/>
            <w:tcBorders>
              <w:top w:val="single" w:color="808080" w:sz="4"/>
              <w:left w:val="single" w:color="808080" w:sz="4"/>
              <w:bottom w:val="single" w:color="808080" w:sz="4"/>
              <w:right w:val="single" w:color="808080" w:sz="4"/>
            </w:tcBorders>
            <w:shd w:fill="E7ECE9"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Önlem</w:t>
            </w:r>
          </w:p>
        </w:tc>
      </w:tr>
      <w:tr>
        <w:trPr>
          <w:tblHeader w:val="false"/>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Tesis verisine erişim izni alınamaması</w:t>
            </w:r>
          </w:p>
        </w:tc>
        <w:tc>
          <w:tcPr>
            <w:tcW w:type="dxa" w:w="53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Literatür verisiyle tipik bir tesis (çimento, kâğıt veya gıda) kurgulanır</w:t>
            </w:r>
          </w:p>
        </w:tc>
      </w:tr>
      <w:tr>
        <w:trPr>
          <w:tblHeader w:val="false"/>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Arz sıralaması modelinin gerçek PTF'yi yeterince açıklayamaması</w:t>
            </w:r>
          </w:p>
        </w:tc>
        <w:tc>
          <w:tcPr>
            <w:tcW w:type="dxa" w:w="53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PTF'ye karbon geçişi, gaz ve kömür fiyatı regresyonuyla tahmin edilir</w:t>
            </w:r>
          </w:p>
        </w:tc>
      </w:tr>
      <w:tr>
        <w:trPr>
          <w:tblHeader w:val="false"/>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Kıyas değerlerinin ilan edilmemiş olması</w:t>
            </w:r>
          </w:p>
        </w:tc>
        <w:tc>
          <w:tcPr>
            <w:tcW w:type="dxa" w:w="53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AB ETS kıyas değerleri kullanılır, duyarlılık analizi genişletilir</w:t>
            </w:r>
          </w:p>
        </w:tc>
      </w:tr>
      <w:tr>
        <w:trPr>
          <w:tblHeader w:val="false"/>
        </w:trPr>
        <w:tc>
          <w:tcPr>
            <w:tcW w:type="dxa" w:w="283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Kapsamın bir bitirme projesi için geniş kalması</w:t>
            </w:r>
          </w:p>
        </w:tc>
        <w:tc>
          <w:tcPr>
            <w:tcW w:type="dxa" w:w="538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M1 sadeleştirilir; ağırlık M3'te tutulur</w:t>
            </w:r>
          </w:p>
        </w:tc>
      </w:tr>
    </w:tbl>
    <w:p>
      <w:pPr>
        <w:pStyle w:val="Heading1"/>
        <w:spacing w:after="120" w:before="240"/>
      </w:pPr>
      <w:r>
        <w:rPr>
          <w:rFonts w:ascii="Times New Roman" w:cs="Times New Roman" w:eastAsia="Times New Roman" w:hAnsi="Times New Roman"/>
          <w:b/>
          <w:bCs/>
          <w:sz w:val="24"/>
          <w:szCs w:val="24"/>
        </w:rPr>
        <w:t xml:space="preserve">KAYNAKLAR</w:t>
      </w:r>
    </w:p>
    <w:p>
      <w:pPr>
        <w:spacing w:after="80" w:line="240"/>
        <w:ind w:left="360" w:hanging="360"/>
        <w:jc w:val="both"/>
      </w:pPr>
      <w:r>
        <w:rPr>
          <w:rFonts w:ascii="Times New Roman" w:cs="Times New Roman" w:eastAsia="Times New Roman" w:hAnsi="Times New Roman"/>
          <w:sz w:val="22"/>
          <w:szCs w:val="22"/>
        </w:rPr>
        <w:t xml:space="preserve">Branger, F., Ponssard, J.-P., Sartor, O. ve Sato, M. (2015). EU ETS, free allocations, and activity level thresholds: The devil lies in the details. Journal of the Association of Environmental and Resource Economists, 2(3), 401–437.</w:t>
      </w:r>
    </w:p>
    <w:p>
      <w:pPr>
        <w:spacing w:after="80" w:line="240"/>
        <w:ind w:left="360" w:hanging="360"/>
        <w:jc w:val="both"/>
      </w:pPr>
      <w:r>
        <w:rPr>
          <w:rFonts w:ascii="Times New Roman" w:cs="Times New Roman" w:eastAsia="Times New Roman" w:hAnsi="Times New Roman"/>
          <w:sz w:val="22"/>
          <w:szCs w:val="22"/>
        </w:rPr>
        <w:t xml:space="preserve">Çevre, Şehircilik ve İklim Değişikliği Bakanlığı (2026). Türkiye Emisyon Ticaret Sistemi Yönetmeliği. Resmî Gazete, 27.08.2026, Sayı: 33353.</w:t>
      </w:r>
    </w:p>
    <w:p>
      <w:pPr>
        <w:spacing w:after="80" w:line="240"/>
        <w:ind w:left="360" w:hanging="360"/>
        <w:jc w:val="both"/>
      </w:pPr>
      <w:r>
        <w:rPr>
          <w:rFonts w:ascii="Times New Roman" w:cs="Times New Roman" w:eastAsia="Times New Roman" w:hAnsi="Times New Roman"/>
          <w:sz w:val="22"/>
          <w:szCs w:val="22"/>
        </w:rPr>
        <w:t xml:space="preserve">7552 sayılı İklim Kanunu (2025). Kabul tarihi: 02.07.2025.</w:t>
      </w:r>
    </w:p>
    <w:p>
      <w:pPr>
        <w:spacing w:after="80" w:line="240"/>
        <w:ind w:left="360" w:hanging="360"/>
        <w:jc w:val="both"/>
      </w:pPr>
      <w:r>
        <w:rPr>
          <w:rFonts w:ascii="Times New Roman" w:cs="Times New Roman" w:eastAsia="Times New Roman" w:hAnsi="Times New Roman"/>
          <w:sz w:val="22"/>
          <w:szCs w:val="22"/>
        </w:rPr>
        <w:t xml:space="preserve">European Commission. Allocation to industrial installations. climate.ec.europa.eu (erişim: 23.09.2026).</w:t>
      </w:r>
    </w:p>
    <w:p>
      <w:pPr>
        <w:spacing w:after="80" w:line="240"/>
        <w:ind w:left="360" w:hanging="360"/>
        <w:jc w:val="both"/>
      </w:pPr>
      <w:r>
        <w:rPr>
          <w:rFonts w:ascii="Times New Roman" w:cs="Times New Roman" w:eastAsia="Times New Roman" w:hAnsi="Times New Roman"/>
          <w:sz w:val="22"/>
          <w:szCs w:val="22"/>
        </w:rPr>
        <w:t xml:space="preserve">EPİAŞ. Şeffaflık Platformu. seffaflik.epias.com.tr (erişim: 23.09.2026).</w:t>
      </w:r>
    </w:p>
    <w:p>
      <w:pPr>
        <w:spacing w:after="80" w:line="240"/>
        <w:ind w:left="360" w:hanging="360"/>
        <w:jc w:val="both"/>
      </w:pPr>
      <w:r>
        <w:rPr>
          <w:rFonts w:ascii="Times New Roman" w:cs="Times New Roman" w:eastAsia="Times New Roman" w:hAnsi="Times New Roman"/>
          <w:sz w:val="22"/>
          <w:szCs w:val="22"/>
        </w:rPr>
        <w:t xml:space="preserve">Merit-order of dispatchable and variable renewable energy sources in Turkey's day-ahead electricity market (2024). Utilities Policy. [Yazar bilgisi tamamlanacak]</w:t>
      </w:r>
    </w:p>
    <w:p>
      <w:pPr>
        <w:spacing w:after="80" w:line="240"/>
        <w:ind w:left="360" w:hanging="360"/>
        <w:jc w:val="both"/>
      </w:pPr>
      <w:r>
        <w:rPr>
          <w:rFonts w:ascii="Times New Roman" w:cs="Times New Roman" w:eastAsia="Times New Roman" w:hAnsi="Times New Roman"/>
          <w:sz w:val="22"/>
          <w:szCs w:val="22"/>
        </w:rPr>
        <w:t xml:space="preserve">Variable renewable energy technologies in the Turkish electricity market: Quantile regression analysis of the merit-order effect (2020). Energy Policy. [Yazar bilgisi tamamlanacak]</w:t>
      </w:r>
    </w:p>
    <w:p>
      <w:pPr>
        <w:spacing w:after="80" w:line="240"/>
        <w:ind w:left="360" w:hanging="360"/>
        <w:jc w:val="both"/>
      </w:pPr>
      <w:r>
        <w:rPr>
          <w:rFonts w:ascii="Times New Roman" w:cs="Times New Roman" w:eastAsia="Times New Roman" w:hAnsi="Times New Roman"/>
          <w:sz w:val="22"/>
          <w:szCs w:val="22"/>
        </w:rPr>
        <w:t xml:space="preserve">IEA (2020). Implementing Effective Emissions Trading Systems: Lessons from International Experiences. Paris: IEA.</w:t>
      </w:r>
    </w:p>
    <w:p>
      <w:pPr>
        <w:spacing w:after="80" w:line="240"/>
        <w:ind w:left="360" w:hanging="360"/>
        <w:jc w:val="both"/>
      </w:pPr>
      <w:r>
        <w:rPr>
          <w:rFonts w:ascii="Times New Roman" w:cs="Times New Roman" w:eastAsia="Times New Roman" w:hAnsi="Times New Roman"/>
          <w:sz w:val="22"/>
          <w:szCs w:val="22"/>
        </w:rPr>
        <w:t xml:space="preserve">SHURA Enerji Dönüşümü Merkezi (2023). Net Zero 2053: A Roadmap for the Turkish Electricity Sector. İstanbul.</w:t>
      </w:r>
    </w:p>
    <w:sectPr>
      <w:footerReference w:type="default" r:id="rId7"/>
      <w:pgSz w:w="11906" w:h="16838" w:orient="portrait"/>
      <w:pgMar w:top="1701" w:right="1843" w:bottom="1418" w:left="184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2026-09-23T11:04:16.418Z</dcterms:created>
  <dcterms:modified xsi:type="dcterms:W3CDTF">2026-09-23T11:04:16.436Z</dcterms:modified>
</cp:coreProperties>
</file>

<file path=docProps/custom.xml><?xml version="1.0" encoding="utf-8"?>
<Properties xmlns="http://schemas.openxmlformats.org/officeDocument/2006/custom-properties" xmlns:vt="http://schemas.openxmlformats.org/officeDocument/2006/docPropsVTypes"/>
</file>