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CFE91" w14:textId="77777777" w:rsidR="004C1CC3" w:rsidRDefault="00000000">
      <w:pPr>
        <w:pStyle w:val="Title"/>
      </w:pPr>
      <w:r>
        <w:t>MSDS 451 Programming Assignment 1</w:t>
      </w:r>
    </w:p>
    <w:p w14:paraId="026EE636" w14:textId="77777777" w:rsidR="004C1CC3" w:rsidRDefault="00000000">
      <w:pPr>
        <w:jc w:val="center"/>
      </w:pPr>
      <w:r>
        <w:rPr>
          <w:b/>
          <w:sz w:val="26"/>
        </w:rPr>
        <w:t>Predicting Next-Day Direction of Palantir (PLTR) Returns with Engineered Lag Features and XGBoost</w:t>
      </w:r>
    </w:p>
    <w:p w14:paraId="73824E73" w14:textId="108BD13F" w:rsidR="004C1CC3" w:rsidRDefault="00000000">
      <w:pPr>
        <w:jc w:val="center"/>
      </w:pPr>
      <w:r>
        <w:rPr>
          <w:i/>
        </w:rPr>
        <w:t>Nad</w:t>
      </w:r>
      <w:r w:rsidR="00CA74D6">
        <w:rPr>
          <w:i/>
        </w:rPr>
        <w:t>ezhda</w:t>
      </w:r>
      <w:r>
        <w:rPr>
          <w:i/>
        </w:rPr>
        <w:t xml:space="preserve"> Shiroglazova   |   Northwestern University, MSDS 451   |   April 2026</w:t>
      </w:r>
    </w:p>
    <w:p w14:paraId="690891C1" w14:textId="77777777" w:rsidR="004C1CC3" w:rsidRDefault="00000000">
      <w:pPr>
        <w:pStyle w:val="Heading1"/>
      </w:pPr>
      <w:r>
        <w:t>1. Problem Description</w:t>
      </w:r>
    </w:p>
    <w:p w14:paraId="08CC932D" w14:textId="77777777" w:rsidR="004C1CC3" w:rsidRDefault="00000000">
      <w:pPr>
        <w:spacing w:after="120"/>
      </w:pPr>
      <w:r>
        <w:t>This project replicates the methodology from the WTI jump-start example on a different asset of personal interest: Palantir Technologies (ticker PLTR). Palantir is a U.S. data-analytics and AI-platform company that has become one of the most-watched names in the post-2023 generative-AI cycle. Its share price has been volatile and frequently driven by news flow, which makes it an interesting candidate for short-horizon directional forecasting: if any structure exists in lagged price/volume features, an asset like PLTR is plausibly where it would show up.</w:t>
      </w:r>
    </w:p>
    <w:p w14:paraId="2B36D4B4" w14:textId="77777777" w:rsidR="004C1CC3" w:rsidRDefault="00000000">
      <w:pPr>
        <w:spacing w:after="120"/>
      </w:pPr>
      <w:r>
        <w:t>The forecasting task is binary classification: given trading-day t, predict whether the log return on day t+1 will be strictly positive (Target = 1) or zero/negative (Target = 0). The motivation is twofold:</w:t>
      </w:r>
    </w:p>
    <w:p w14:paraId="718ACF6F" w14:textId="77777777" w:rsidR="004C1CC3" w:rsidRDefault="00000000">
      <w:pPr>
        <w:pStyle w:val="ListBullet"/>
      </w:pPr>
      <w:r>
        <w:t>(a) Pedagogical — practice the same feature-engineering, subset-selection, time-series cross-validation, and gradient-boosted-tree workflow demonstrated for WTI.</w:t>
      </w:r>
    </w:p>
    <w:p w14:paraId="7544D18D" w14:textId="77777777" w:rsidR="004C1CC3" w:rsidRDefault="00000000">
      <w:pPr>
        <w:pStyle w:val="ListBullet"/>
      </w:pPr>
      <w:r>
        <w:t>(b) Personal — gauge whether a small set of price/volume features carries any directional signal for a stock the author is considering buying.</w:t>
      </w:r>
    </w:p>
    <w:p w14:paraId="6C281491" w14:textId="77777777" w:rsidR="004C1CC3" w:rsidRDefault="00000000">
      <w:pPr>
        <w:spacing w:after="120"/>
      </w:pPr>
      <w:r>
        <w:t>The technical-report standard from Miller (2025) sets the methodology: engineer 15 lag/EMA-based features, run all-possible-subsets logistic regression with AIC for feature selection, train an XGBoost classifier under TimeSeriesSplit cross-validation, tune via randomized search, and evaluate with ROC AUC, a confusion matrix, and a classification report.</w:t>
      </w:r>
    </w:p>
    <w:p w14:paraId="58A9F2BD" w14:textId="77777777" w:rsidR="004C1CC3" w:rsidRDefault="00000000">
      <w:pPr>
        <w:pStyle w:val="Heading1"/>
      </w:pPr>
      <w:r>
        <w:t>2. Data Preparation and Pipeline</w:t>
      </w:r>
    </w:p>
    <w:p w14:paraId="0AD22470" w14:textId="77777777" w:rsidR="004C1CC3" w:rsidRDefault="00000000">
      <w:pPr>
        <w:spacing w:after="120"/>
      </w:pPr>
      <w:r>
        <w:t>Daily OHLCV data for PLTR were retrieved from Yahoo! Finance via the yfinance package. The download window starts at the IPO date (2020-09-30) and runs through 2026-04-19, yielding 1,393 raw trading days. After computing the lag and EMA warm-up rows and dropping nulls, 1,390 rows remain for modeling. Compared with WTI's 5,000+ training rows, the PLTR sample is roughly four times smaller — a meaningful limitation that informs how much we can trust any out-of-sample result.</w:t>
      </w:r>
    </w:p>
    <w:p w14:paraId="3ACCA61E" w14:textId="77777777" w:rsidR="004C1CC3" w:rsidRDefault="00000000">
      <w:pPr>
        <w:spacing w:after="120"/>
      </w:pPr>
      <w:r>
        <w:t>All feature engineering and DataFrame operations use Polars. The engineered feature set mirrors the jump-start specification exactly so that results are directly comparable:</w:t>
      </w:r>
    </w:p>
    <w:p w14:paraId="580DA709" w14:textId="77777777" w:rsidR="004C1CC3" w:rsidRDefault="00000000">
      <w:pPr>
        <w:pStyle w:val="ListBullet"/>
      </w:pPr>
      <w:r>
        <w:t>Lagged closing prices: CloseLag1, CloseLag2, CloseLag3.</w:t>
      </w:r>
    </w:p>
    <w:p w14:paraId="1ECDF1D1" w14:textId="77777777" w:rsidR="004C1CC3" w:rsidRDefault="00000000">
      <w:pPr>
        <w:pStyle w:val="ListBullet"/>
      </w:pPr>
      <w:r>
        <w:lastRenderedPageBreak/>
        <w:t>Daily intraday range and its lags: HML = High − Low, with HMLLag1, HMLLag2, HMLLag3.</w:t>
      </w:r>
    </w:p>
    <w:p w14:paraId="5DC2A7D4" w14:textId="77777777" w:rsidR="004C1CC3" w:rsidRDefault="00000000">
      <w:pPr>
        <w:pStyle w:val="ListBullet"/>
      </w:pPr>
      <w:r>
        <w:t>Daily open-to-close move and its lags: OMC = Open − Close, with OMCLag1, OMCLag2, OMCLag3.</w:t>
      </w:r>
    </w:p>
    <w:p w14:paraId="0FAD661B" w14:textId="77777777" w:rsidR="004C1CC3" w:rsidRDefault="00000000">
      <w:pPr>
        <w:pStyle w:val="ListBullet"/>
      </w:pPr>
      <w:r>
        <w:t>Lagged volume: VolumeLag1, VolumeLag2, VolumeLag3.</w:t>
      </w:r>
    </w:p>
    <w:p w14:paraId="0A32D77A" w14:textId="77777777" w:rsidR="004C1CC3" w:rsidRDefault="00000000">
      <w:pPr>
        <w:pStyle w:val="ListBullet"/>
      </w:pPr>
      <w:r>
        <w:t>Exponential moving averages of CloseLag1 (i.e. computed from the previous day's close to avoid leakage): CloseEMA2, CloseEMA4, CloseEMA8 — half-lives of 1, 2, and 4 days.</w:t>
      </w:r>
    </w:p>
    <w:p w14:paraId="5B81299A" w14:textId="77777777" w:rsidR="004C1CC3" w:rsidRDefault="00000000">
      <w:pPr>
        <w:spacing w:after="120"/>
      </w:pPr>
      <w:r>
        <w:t>The continuous response is the daily log return, LogReturn = ln(Close_t / Close_{t-1}). The binary classification target is Target = 1 when LogReturn &gt; 0 and Target = 0 otherwise.</w:t>
      </w:r>
    </w:p>
    <w:p w14:paraId="0525E153" w14:textId="77777777" w:rsidR="004C1CC3" w:rsidRDefault="00000000">
      <w:pPr>
        <w:spacing w:after="120"/>
      </w:pPr>
      <w:r>
        <w:t>Class balance was checked before modeling: 704 up days (50.6%) and 686 even/down days (49.4%). The classes are essentially balanced, so no resampling was applied. All 15 features were standardized with scikit-learn's StandardScaler before being passed to either the logistic regression used in subset selection or the XGBoost classifier used downstream.</w:t>
      </w:r>
    </w:p>
    <w:p w14:paraId="1941E19B" w14:textId="77777777" w:rsidR="004C1CC3" w:rsidRDefault="00000000">
      <w:pPr>
        <w:pStyle w:val="Heading1"/>
      </w:pPr>
      <w:r>
        <w:t>3. Research Design</w:t>
      </w:r>
    </w:p>
    <w:p w14:paraId="0F78B07B" w14:textId="77777777" w:rsidR="004C1CC3" w:rsidRDefault="00000000">
      <w:pPr>
        <w:pStyle w:val="Heading2"/>
      </w:pPr>
      <w:r>
        <w:t>3.1 Feature selection — all possible subsets with AIC</w:t>
      </w:r>
    </w:p>
    <w:p w14:paraId="241728DD" w14:textId="2A9BF6DD" w:rsidR="004C1CC3" w:rsidRDefault="00000000">
      <w:pPr>
        <w:spacing w:after="120"/>
      </w:pPr>
      <w:r>
        <w:t>Following Miller (2025), feature selection was performed by exhaustive enumeration: every non-empty subset of the 15 candidate features (2^15 − 1 = 32,767 subsets) was fit to a logistic regression on the binary target, and the Akaike Information Criterion was computed as AIC = 2k − 2 ln L, where k is the number of model parameters (features + intercept) and L</w:t>
      </w:r>
      <w:r w:rsidR="00CA74D6">
        <w:t xml:space="preserve"> </w:t>
      </w:r>
      <w:r>
        <w:t>is the maximized likelihood. Lower AIC is preferred — it rewards goodness of fit and penalizes complexity.</w:t>
      </w:r>
    </w:p>
    <w:p w14:paraId="27877962" w14:textId="77777777" w:rsidR="004C1CC3" w:rsidRDefault="00000000">
      <w:pPr>
        <w:spacing w:after="120"/>
      </w:pPr>
      <w:r>
        <w:t>The ten lowest-AIC subsets were collected, and the features that appeared most often across those ten subsets were retained for downstream modeling. This recovers a small, robust feature subset without committing to any single model's idiosyncrasies.</w:t>
      </w:r>
    </w:p>
    <w:p w14:paraId="134868F0" w14:textId="77777777" w:rsidR="004C1CC3" w:rsidRDefault="00000000">
      <w:pPr>
        <w:pStyle w:val="Heading2"/>
      </w:pPr>
      <w:r>
        <w:t>3.2 Cross-validation design</w:t>
      </w:r>
    </w:p>
    <w:p w14:paraId="5BEE8BD6" w14:textId="77777777" w:rsidR="004C1CC3" w:rsidRDefault="00000000">
      <w:pPr>
        <w:spacing w:after="120"/>
      </w:pPr>
      <w:r>
        <w:t>Because trading-day observations are temporally dependent, ordinary k-fold cross-validation would leak future information into training folds. Scikit-learn's TimeSeriesSplit was used instead, with n_splits = 5 and a 10-day gap between each training fold and the following test fold. The gap absorbs the longest EMA half-life (CloseEMA8, half-life of 4 days) plus a buffer, so test-set features cannot quietly carry information from training-set days.</w:t>
      </w:r>
    </w:p>
    <w:p w14:paraId="697789F9" w14:textId="77777777" w:rsidR="004C1CC3" w:rsidRDefault="00000000">
      <w:pPr>
        <w:pStyle w:val="Heading2"/>
      </w:pPr>
      <w:r>
        <w:t>3.3 Modeling algorithm and hyperparameter search</w:t>
      </w:r>
    </w:p>
    <w:p w14:paraId="29F5119D" w14:textId="77777777" w:rsidR="004C1CC3" w:rsidRDefault="00000000">
      <w:pPr>
        <w:spacing w:after="120"/>
      </w:pPr>
      <w:r>
        <w:t xml:space="preserve">XGBoost (XGBClassifier with binary:logistic objective) was the chosen estimator. A baseline run with n_estimators = 1,000 and otherwise default hyperparameters was evaluated under TimeSeriesSplit to establish a starting point. Then a RandomizedSearchCV with 100 iterations sampled from the same five-hyperparameter space used in the jump-start (max_depth, min_child_weight, subsample, learning_rate, n_estimators) under the same TimeSeriesSplit. The </w:t>
      </w:r>
      <w:r>
        <w:lastRenderedPageBreak/>
        <w:t>model returned by RandomizedSearchCV was refit on the full sample and used for the final evaluation.</w:t>
      </w:r>
    </w:p>
    <w:p w14:paraId="39B18D0D" w14:textId="77777777" w:rsidR="004C1CC3" w:rsidRDefault="00000000">
      <w:pPr>
        <w:pStyle w:val="Heading1"/>
      </w:pPr>
      <w:r>
        <w:t>4. Results</w:t>
      </w:r>
    </w:p>
    <w:p w14:paraId="6B7CFD78" w14:textId="77777777" w:rsidR="004C1CC3" w:rsidRDefault="00000000">
      <w:pPr>
        <w:pStyle w:val="Heading2"/>
      </w:pPr>
      <w:r>
        <w:t>4.1 Selected feature subset</w:t>
      </w:r>
    </w:p>
    <w:p w14:paraId="3514C4F4" w14:textId="77777777" w:rsidR="004C1CC3" w:rsidRDefault="00000000">
      <w:pPr>
        <w:spacing w:after="120"/>
      </w:pPr>
      <w:r>
        <w:t>The ten lowest-AIC subsets were dominated by intraday-range and intraday-direction features. Frequency counts across the top ten:</w:t>
      </w:r>
    </w:p>
    <w:p w14:paraId="78D48EBE" w14:textId="77777777" w:rsidR="004C1CC3" w:rsidRDefault="00000000">
      <w:pPr>
        <w:pStyle w:val="ListBullet"/>
      </w:pPr>
      <w:r>
        <w:t>HMLLag2 — appeared in 10 of 10 subsets</w:t>
      </w:r>
    </w:p>
    <w:p w14:paraId="0D750184" w14:textId="77777777" w:rsidR="004C1CC3" w:rsidRDefault="00000000">
      <w:pPr>
        <w:pStyle w:val="ListBullet"/>
      </w:pPr>
      <w:r>
        <w:t>HMLLag1 — appeared in 8 of 10</w:t>
      </w:r>
    </w:p>
    <w:p w14:paraId="5CC7ED68" w14:textId="77777777" w:rsidR="004C1CC3" w:rsidRDefault="00000000">
      <w:pPr>
        <w:pStyle w:val="ListBullet"/>
      </w:pPr>
      <w:r>
        <w:t>OMCLag3 — appeared in 4 of 10</w:t>
      </w:r>
    </w:p>
    <w:p w14:paraId="7CEBA16B" w14:textId="77777777" w:rsidR="004C1CC3" w:rsidRDefault="00000000">
      <w:pPr>
        <w:pStyle w:val="ListBullet"/>
      </w:pPr>
      <w:r>
        <w:t>VolumeLag2 — appeared in 4 of 10</w:t>
      </w:r>
    </w:p>
    <w:p w14:paraId="769C82A0" w14:textId="77777777" w:rsidR="004C1CC3" w:rsidRDefault="00000000">
      <w:pPr>
        <w:pStyle w:val="ListBullet"/>
      </w:pPr>
      <w:r>
        <w:t>OMCLag1 — appeared in 3 of 10</w:t>
      </w:r>
    </w:p>
    <w:p w14:paraId="6D4C1E98" w14:textId="77777777" w:rsidR="004C1CC3" w:rsidRDefault="00000000">
      <w:pPr>
        <w:spacing w:after="120"/>
      </w:pPr>
      <w:r>
        <w:t>These five features were carried forward. This is a striking departure from the WTI result reported in the jump-start, where the selected subset was {CloseLag3, HMLLag1, OMCLag2, OMCLag3, CloseEMA8} — i.e., anchored by lagged closes and the long EMA. For PLTR, none of CloseLag1–3 nor any of the three EMAs survived selection. The correlation heat map (Figure 1) suggests why: HMLLag1, HMLLag2, and CloseLag1 are correlated at r ≈ 0.80, so the intraday-range features absorb most of the autoregressive information that lagged closes would have contributed, and AIC's complexity penalty then prefers the smaller HML-anchored set. Substantively, this fits PLTR's character as a high-volatility, news-driven name where the daily true range carries more information than the price level itself.</w:t>
      </w:r>
    </w:p>
    <w:p w14:paraId="1C3EB1C5" w14:textId="77777777" w:rsidR="004C1CC3" w:rsidRDefault="00000000">
      <w:r>
        <w:rPr>
          <w:noProof/>
        </w:rPr>
        <w:lastRenderedPageBreak/>
        <w:drawing>
          <wp:inline distT="0" distB="0" distL="0" distR="0" wp14:anchorId="10FC3689" wp14:editId="36C4DAE5">
            <wp:extent cx="5029200" cy="37719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tr_correlation_heatmap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6927B" w14:textId="77777777" w:rsidR="004C1CC3" w:rsidRDefault="00000000">
      <w:pPr>
        <w:spacing w:after="240"/>
        <w:jc w:val="center"/>
      </w:pPr>
      <w:r>
        <w:rPr>
          <w:i/>
        </w:rPr>
        <w:t>Figure 1. Correlation heat map for the five selected features, plus LogReturn and CloseLag1.</w:t>
      </w:r>
    </w:p>
    <w:p w14:paraId="449E5033" w14:textId="77777777" w:rsidR="004C1CC3" w:rsidRDefault="00000000">
      <w:pPr>
        <w:spacing w:after="120"/>
      </w:pPr>
      <w:r>
        <w:t>As in the WTI case, every selected feature has a near-zero correlation with LogReturn (|r| ≤ 0.02). This forecasts up front that the downstream classifier will struggle on out-of-sample test folds, even if it can fit the training data nearly perfectly.</w:t>
      </w:r>
    </w:p>
    <w:p w14:paraId="0877945D" w14:textId="77777777" w:rsidR="004C1CC3" w:rsidRDefault="00000000">
      <w:pPr>
        <w:pStyle w:val="Heading2"/>
      </w:pPr>
      <w:r>
        <w:t>4.2 Cross-validated baseline</w:t>
      </w:r>
    </w:p>
    <w:p w14:paraId="6E837379" w14:textId="77777777" w:rsidR="004C1CC3" w:rsidRDefault="00000000">
      <w:pPr>
        <w:spacing w:after="120"/>
      </w:pPr>
      <w:r>
        <w:t>The baseline XGBoost classifier (n_estimators = 1,000, defaults elsewhere) achieved a five-fold time-series CV accuracy of 0.506 ± 0.036 — essentially indistinguishable from the 50.6% rate of the majority class. This is the honest signal in the data: with only five lagged features and ~1,400 days of history, the model has approximately no edge over a coin flip on truly held-out days.</w:t>
      </w:r>
    </w:p>
    <w:p w14:paraId="43F1D1EF" w14:textId="77777777" w:rsidR="004C1CC3" w:rsidRDefault="00000000">
      <w:pPr>
        <w:pStyle w:val="Heading2"/>
      </w:pPr>
      <w:r>
        <w:t>4.3 Hyperparameter tuning</w:t>
      </w:r>
    </w:p>
    <w:p w14:paraId="2F0F83BC" w14:textId="77777777" w:rsidR="004C1CC3" w:rsidRDefault="00000000">
      <w:pPr>
        <w:spacing w:after="120"/>
      </w:pPr>
      <w:r>
        <w:t>RandomizedSearchCV (100 iterations, TimeSeriesSplit gap = 10, n_splits = 5) returned the following best settings:</w:t>
      </w:r>
    </w:p>
    <w:p w14:paraId="013D88D6" w14:textId="77777777" w:rsidR="004C1CC3" w:rsidRDefault="00000000">
      <w:pPr>
        <w:pStyle w:val="ListBullet"/>
      </w:pPr>
      <w:r>
        <w:t>max_depth: 6</w:t>
      </w:r>
    </w:p>
    <w:p w14:paraId="30B71C6F" w14:textId="77777777" w:rsidR="004C1CC3" w:rsidRDefault="00000000">
      <w:pPr>
        <w:pStyle w:val="ListBullet"/>
      </w:pPr>
      <w:r>
        <w:t>min_child_weight: 1</w:t>
      </w:r>
    </w:p>
    <w:p w14:paraId="7BCAABFC" w14:textId="77777777" w:rsidR="004C1CC3" w:rsidRDefault="00000000">
      <w:pPr>
        <w:pStyle w:val="ListBullet"/>
      </w:pPr>
      <w:r>
        <w:t>subsample: 0.893</w:t>
      </w:r>
    </w:p>
    <w:p w14:paraId="2934C9D6" w14:textId="77777777" w:rsidR="004C1CC3" w:rsidRDefault="00000000">
      <w:pPr>
        <w:pStyle w:val="ListBullet"/>
      </w:pPr>
      <w:r>
        <w:t>learning_rate: 0.014</w:t>
      </w:r>
    </w:p>
    <w:p w14:paraId="692FEC62" w14:textId="77777777" w:rsidR="004C1CC3" w:rsidRDefault="00000000">
      <w:pPr>
        <w:pStyle w:val="ListBullet"/>
      </w:pPr>
      <w:r>
        <w:t>n_estimators: 846</w:t>
      </w:r>
    </w:p>
    <w:p w14:paraId="6E8C5D0A" w14:textId="77777777" w:rsidR="004C1CC3" w:rsidRDefault="00000000">
      <w:pPr>
        <w:spacing w:after="120"/>
      </w:pPr>
      <w:r>
        <w:lastRenderedPageBreak/>
        <w:t>Best cross-validated accuracy at these settings was 0.521 — a small improvement over the baseline, but still well within the noise band.</w:t>
      </w:r>
    </w:p>
    <w:p w14:paraId="19DA48FD" w14:textId="77777777" w:rsidR="004C1CC3" w:rsidRDefault="00000000">
      <w:pPr>
        <w:pStyle w:val="Heading2"/>
      </w:pPr>
      <w:r>
        <w:t>4.4 Final-model evaluation on the full sample</w:t>
      </w:r>
    </w:p>
    <w:p w14:paraId="662ECB3A" w14:textId="77777777" w:rsidR="004C1CC3" w:rsidRDefault="00000000">
      <w:pPr>
        <w:spacing w:after="120"/>
      </w:pPr>
      <w:r>
        <w:t>Following the jump-start convention, the final model was refit on the full sample with the tuned hyperparameters and evaluated against the training labels. In-sample ROC AUC was 0.997 (Figure 2). The confusion matrix (Figure 3) shows 669 true negatives, 683 true positives, 17 false positives, and 21 false negatives — overall in-sample accuracy of 97.3%.</w:t>
      </w:r>
    </w:p>
    <w:p w14:paraId="2C376E8D" w14:textId="77777777" w:rsidR="004C1CC3" w:rsidRDefault="00000000">
      <w:r>
        <w:rPr>
          <w:noProof/>
        </w:rPr>
        <w:drawing>
          <wp:inline distT="0" distB="0" distL="0" distR="0" wp14:anchorId="390E54B7" wp14:editId="75D4BBEE">
            <wp:extent cx="5029200" cy="50292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tr_roc_curv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8E213" w14:textId="77777777" w:rsidR="004C1CC3" w:rsidRDefault="00000000">
      <w:pPr>
        <w:spacing w:after="240"/>
        <w:jc w:val="center"/>
      </w:pPr>
      <w:r>
        <w:rPr>
          <w:i/>
        </w:rPr>
        <w:t>Figure 2. In-sample ROC curve for the tuned XGBoost model. The very high AUC (0.997) reflects training-set fit, not held-out performance.</w:t>
      </w:r>
    </w:p>
    <w:p w14:paraId="3525DE5A" w14:textId="77777777" w:rsidR="004C1CC3" w:rsidRDefault="00000000">
      <w:r>
        <w:rPr>
          <w:noProof/>
        </w:rPr>
        <w:lastRenderedPageBreak/>
        <w:drawing>
          <wp:inline distT="0" distB="0" distL="0" distR="0" wp14:anchorId="7D3A964A" wp14:editId="4BA48640">
            <wp:extent cx="5029200" cy="4191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tr_confusion_matrix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FE84F" w14:textId="77777777" w:rsidR="004C1CC3" w:rsidRDefault="00000000">
      <w:pPr>
        <w:spacing w:after="240"/>
        <w:jc w:val="center"/>
      </w:pPr>
      <w:r>
        <w:rPr>
          <w:i/>
        </w:rPr>
        <w:t>Figure 3. In-sample confusion matrix for the tuned XGBoost model.</w:t>
      </w:r>
    </w:p>
    <w:p w14:paraId="2B0FC85C" w14:textId="77777777" w:rsidR="004C1CC3" w:rsidRDefault="00000000">
      <w:pPr>
        <w:spacing w:after="120"/>
      </w:pPr>
      <w:r>
        <w:t>Per-class metrics (in-sample classification report):</w:t>
      </w:r>
    </w:p>
    <w:p w14:paraId="17864AF7" w14:textId="77777777" w:rsidR="004C1CC3" w:rsidRDefault="00000000">
      <w:pPr>
        <w:pStyle w:val="ListBullet"/>
      </w:pPr>
      <w:r>
        <w:t>Negative return: precision 0.97, recall 0.98, F1 0.97 (n = 686)</w:t>
      </w:r>
    </w:p>
    <w:p w14:paraId="15F69B88" w14:textId="77777777" w:rsidR="004C1CC3" w:rsidRDefault="00000000">
      <w:pPr>
        <w:pStyle w:val="ListBullet"/>
      </w:pPr>
      <w:r>
        <w:t>Positive return: precision 0.98, recall 0.97, F1 0.97 (n = 704)</w:t>
      </w:r>
    </w:p>
    <w:p w14:paraId="30B973EB" w14:textId="77777777" w:rsidR="004C1CC3" w:rsidRDefault="00000000">
      <w:pPr>
        <w:spacing w:after="120"/>
      </w:pPr>
      <w:r>
        <w:t>The contrast between the cross-validated accuracy (~0.52) and the in-sample AUC (0.997) is the headline finding of this study. With a max_depth of 6 and 846 trees, XGBoost can memorize 1,390 standardized feature vectors essentially perfectly even when the features carry almost no genuine signal about the target. This is a textbook example of why time-series cross-validation matters more than training-set metrics when assessing a financial forecasting model.</w:t>
      </w:r>
    </w:p>
    <w:p w14:paraId="55A0CB19" w14:textId="77777777" w:rsidR="004C1CC3" w:rsidRDefault="00000000">
      <w:r>
        <w:rPr>
          <w:noProof/>
        </w:rPr>
        <w:lastRenderedPageBreak/>
        <w:drawing>
          <wp:inline distT="0" distB="0" distL="0" distR="0" wp14:anchorId="01BF1859" wp14:editId="1B15D2AB">
            <wp:extent cx="5029200" cy="287382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tr_feature_importan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73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C57ED" w14:textId="77777777" w:rsidR="004C1CC3" w:rsidRDefault="00000000">
      <w:pPr>
        <w:spacing w:after="240"/>
        <w:jc w:val="center"/>
      </w:pPr>
      <w:r>
        <w:rPr>
          <w:i/>
        </w:rPr>
        <w:t>Figure 4. XGBoost gain-based feature importances on the final model.</w:t>
      </w:r>
    </w:p>
    <w:p w14:paraId="4CE5CA68" w14:textId="77777777" w:rsidR="004C1CC3" w:rsidRDefault="00000000">
      <w:pPr>
        <w:pStyle w:val="Heading1"/>
      </w:pPr>
      <w:r>
        <w:t>5. Conclusions and Next Steps</w:t>
      </w:r>
    </w:p>
    <w:p w14:paraId="2692D12C" w14:textId="77777777" w:rsidR="004C1CC3" w:rsidRDefault="00000000">
      <w:pPr>
        <w:spacing w:after="120"/>
      </w:pPr>
      <w:r>
        <w:t>Three takeaways from applying the jump-start methodology to PLTR:</w:t>
      </w:r>
    </w:p>
    <w:p w14:paraId="696F5335" w14:textId="77777777" w:rsidR="004C1CC3" w:rsidRDefault="00000000">
      <w:pPr>
        <w:pStyle w:val="ListBullet"/>
      </w:pPr>
      <w:r>
        <w:t>Feature selection is asset-specific. PLTR's AIC-best subset is built around intraday range (HMLLag1, HMLLag2) rather than lagged closes and long EMAs. Practitioners should not assume that a feature subset tuned on one asset transfers to another.</w:t>
      </w:r>
    </w:p>
    <w:p w14:paraId="6ED80A5E" w14:textId="77777777" w:rsidR="004C1CC3" w:rsidRDefault="00000000">
      <w:pPr>
        <w:pStyle w:val="ListBullet"/>
      </w:pPr>
      <w:r>
        <w:t>Honest out-of-sample performance is roughly chance. Time-series cross-validated accuracy hovers near 52%, only marginally above the majority-class baseline. The training-set AUC of 0.997 is misleading and demonstrates the importance of disciplined evaluation.</w:t>
      </w:r>
    </w:p>
    <w:p w14:paraId="7112AA7D" w14:textId="77777777" w:rsidR="004C1CC3" w:rsidRDefault="00000000">
      <w:pPr>
        <w:pStyle w:val="ListBullet"/>
      </w:pPr>
      <w:r>
        <w:t>PLTR's short trading history limits what can be learned. With ~1,400 trading days versus WTI's 5,000+, both feature selection and hyperparameter tuning sit on a smaller statistical foundation.</w:t>
      </w:r>
    </w:p>
    <w:p w14:paraId="74235E4A" w14:textId="77777777" w:rsidR="004C1CC3" w:rsidRDefault="00000000">
      <w:pPr>
        <w:spacing w:after="120"/>
      </w:pPr>
      <w:r>
        <w:t>Plausible next steps include:</w:t>
      </w:r>
    </w:p>
    <w:p w14:paraId="0BE537D8" w14:textId="77777777" w:rsidR="004C1CC3" w:rsidRDefault="00000000">
      <w:pPr>
        <w:pStyle w:val="ListBullet"/>
      </w:pPr>
      <w:r>
        <w:t>Adding non-price features that may actually carry directional information for PLTR specifically — sector ETF returns (e.g. XLK), volatility-index levels (VIX), Treasury-yield changes, or sentiment scores from news headlines and earnings-call transcripts.</w:t>
      </w:r>
    </w:p>
    <w:p w14:paraId="739C0FCA" w14:textId="77777777" w:rsidR="004C1CC3" w:rsidRDefault="00000000">
      <w:pPr>
        <w:pStyle w:val="ListBullet"/>
      </w:pPr>
      <w:r>
        <w:t>Redefining the target as a three-level outcome (clear up / stable / clear down) tied to a magnitude threshold, so the model can decline to trade on small moves rather than being forced into a binary call.</w:t>
      </w:r>
    </w:p>
    <w:p w14:paraId="4516ACAC" w14:textId="77777777" w:rsidR="004C1CC3" w:rsidRDefault="00000000">
      <w:pPr>
        <w:pStyle w:val="ListBullet"/>
      </w:pPr>
      <w:r>
        <w:t>Holding out a true forward test set (e.g. the most recent 6–12 months) and reporting metrics there, rather than on the training data, before treating any model output as actionable.</w:t>
      </w:r>
    </w:p>
    <w:p w14:paraId="11EB18BB" w14:textId="77777777" w:rsidR="004C1CC3" w:rsidRDefault="00000000">
      <w:pPr>
        <w:pStyle w:val="ListBullet"/>
      </w:pPr>
      <w:r>
        <w:lastRenderedPageBreak/>
        <w:t>Repeating the workflow on related tickers (e.g. C3.AI, Snowflake, Datadog) to test whether the HML-dominant feature pattern generalizes across AI/data-platform names.</w:t>
      </w:r>
    </w:p>
    <w:p w14:paraId="03207409" w14:textId="77777777" w:rsidR="004C1CC3" w:rsidRDefault="00000000">
      <w:pPr>
        <w:pStyle w:val="Heading1"/>
      </w:pPr>
      <w:r>
        <w:t>6. References</w:t>
      </w:r>
    </w:p>
    <w:p w14:paraId="0F10364B" w14:textId="77777777" w:rsidR="004C1CC3" w:rsidRDefault="00000000">
      <w:pPr>
        <w:pStyle w:val="ListBullet"/>
      </w:pPr>
      <w:r>
        <w:t>Miller, T. W. (2025). 451 Feature Engineering: Programming Assignment 1 — Technical Report. Northwestern University, MSDS 451.</w:t>
      </w:r>
    </w:p>
    <w:p w14:paraId="7BFF977D" w14:textId="77777777" w:rsidR="004C1CC3" w:rsidRDefault="00000000">
      <w:pPr>
        <w:pStyle w:val="ListBullet"/>
      </w:pPr>
      <w:r>
        <w:t>Akaike, H. (1974). A new look at the statistical model identification. IEEE Transactions on Automatic Control, 19(6), 716–723.</w:t>
      </w:r>
    </w:p>
    <w:p w14:paraId="176388C1" w14:textId="77777777" w:rsidR="004C1CC3" w:rsidRDefault="00000000">
      <w:pPr>
        <w:pStyle w:val="ListBullet"/>
      </w:pPr>
      <w:r>
        <w:t>Chen, T., &amp; Guestrin, C. (2016). XGBoost: A scalable tree boosting system. Proceedings of KDD '16, 785–794.</w:t>
      </w:r>
    </w:p>
    <w:p w14:paraId="5A1FCCAF" w14:textId="573E76A1" w:rsidR="004C1CC3" w:rsidRDefault="00000000" w:rsidP="00CA74D6">
      <w:pPr>
        <w:pStyle w:val="ListBullet"/>
      </w:pPr>
      <w:r>
        <w:t>Pedregosa, F. et al. (2011). Scikit-learn: Machine learning in Python. JMLR, 12, 2825–2830.</w:t>
      </w:r>
    </w:p>
    <w:sectPr w:rsidR="004C1CC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91226269">
    <w:abstractNumId w:val="8"/>
  </w:num>
  <w:num w:numId="2" w16cid:durableId="847209090">
    <w:abstractNumId w:val="6"/>
  </w:num>
  <w:num w:numId="3" w16cid:durableId="1402407495">
    <w:abstractNumId w:val="5"/>
  </w:num>
  <w:num w:numId="4" w16cid:durableId="1028792997">
    <w:abstractNumId w:val="4"/>
  </w:num>
  <w:num w:numId="5" w16cid:durableId="35468796">
    <w:abstractNumId w:val="7"/>
  </w:num>
  <w:num w:numId="6" w16cid:durableId="1589148131">
    <w:abstractNumId w:val="3"/>
  </w:num>
  <w:num w:numId="7" w16cid:durableId="1245263105">
    <w:abstractNumId w:val="2"/>
  </w:num>
  <w:num w:numId="8" w16cid:durableId="232276242">
    <w:abstractNumId w:val="1"/>
  </w:num>
  <w:num w:numId="9" w16cid:durableId="19470344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C1CC3"/>
    <w:rsid w:val="00694D2F"/>
    <w:rsid w:val="00AA1D8D"/>
    <w:rsid w:val="00B47730"/>
    <w:rsid w:val="00CA74D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401827"/>
  <w14:defaultImageDpi w14:val="300"/>
  <w15:docId w15:val="{C8C31602-7095-BB4B-B9E5-AC840F3FC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1624</Words>
  <Characters>9260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10863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Shiro Nadi</cp:lastModifiedBy>
  <cp:revision>2</cp:revision>
  <dcterms:created xsi:type="dcterms:W3CDTF">2013-12-23T23:15:00Z</dcterms:created>
  <dcterms:modified xsi:type="dcterms:W3CDTF">2026-04-19T23:28:00Z</dcterms:modified>
  <cp:category/>
</cp:coreProperties>
</file>