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color w:val="003366"/>
          <w:sz w:val="48"/>
        </w:rPr>
        <w:t>Dossier de Documentation Technique &amp; API</w:t>
      </w:r>
    </w:p>
    <w:p>
      <w:pPr>
        <w:spacing w:before="360" w:after="120"/>
      </w:pPr>
      <w:r>
        <w:rPr>
          <w:rFonts w:ascii="Calibri" w:hAnsi="Calibri"/>
          <w:b/>
          <w:color w:val="003366"/>
          <w:sz w:val="36"/>
        </w:rPr>
        <w:t>1. Documentation de l'API REST</w:t>
      </w:r>
    </w:p>
    <w:p>
      <w:r>
        <w:t>L'API REST du projet fournit des services d'inférence en temps réel pour le modèle de scoring crédit. Elle est construite avec FastAPI, gère la validation stricte des données d'entrée via Pydantic, et expose des métriques de santé du service.</w:t>
      </w:r>
    </w:p>
    <w:p>
      <w:r>
        <w:rPr>
          <w:b/>
        </w:rPr>
        <w:t xml:space="preserve">• Base URL : </w:t>
      </w:r>
      <w:r>
        <w:t>http://127.0.0.1:8000</w:t>
        <w:br/>
      </w:r>
      <w:r>
        <w:rPr>
          <w:b/>
        </w:rPr>
        <w:t xml:space="preserve">• Format des données : </w:t>
      </w:r>
      <w:r>
        <w:t>JSON (application/json)</w:t>
        <w:br/>
      </w:r>
      <w:r>
        <w:rPr>
          <w:b/>
        </w:rPr>
        <w:t xml:space="preserve">• Documentation interactive : </w:t>
      </w:r>
      <w:r>
        <w:t>Accessible sur /docs (Swagger UI) et /redoc (ReDoc)</w:t>
      </w:r>
    </w:p>
    <w:p>
      <w:pPr>
        <w:spacing w:before="240" w:after="80"/>
      </w:pPr>
      <w:r>
        <w:rPr>
          <w:rFonts w:ascii="Calibri" w:hAnsi="Calibri"/>
          <w:b/>
          <w:color w:val="336699"/>
          <w:sz w:val="28"/>
        </w:rPr>
        <w:t>Endpoints</w:t>
      </w:r>
    </w:p>
    <w:p>
      <w:r>
        <w:t>1. Santé du service (GET /)</w:t>
      </w:r>
    </w:p>
    <w:p>
      <w:r>
        <w:t>Vérifie la disponibilité de l'API.</w:t>
      </w:r>
    </w:p>
    <w:p>
      <w:pPr>
        <w:spacing w:before="80" w:after="80"/>
        <w:ind w:left="432"/>
      </w:pPr>
      <w:r>
        <w:rPr>
          <w:rFonts w:ascii="Consolas" w:hAnsi="Consolas"/>
          <w:color w:val="282828"/>
          <w:sz w:val="19"/>
        </w:rPr>
        <w:t>Réponse (200 OK):</w:t>
        <w:br/>
        <w:t>{</w:t>
        <w:br/>
        <w:t xml:space="preserve">  "status": "ok",</w:t>
        <w:br/>
        <w:t xml:space="preserve">  "message": "API ML opérationnelle"</w:t>
        <w:br/>
        <w:t>}</w:t>
      </w:r>
    </w:p>
    <w:p>
      <w:r>
        <w:t>2. Inférence / Prédiction (POST /predict)</w:t>
      </w:r>
    </w:p>
    <w:p>
      <w:r>
        <w:t>Calcule le score d'octroi et la probabilité associée à partir des caractéristiques d'un client.</w:t>
      </w:r>
    </w:p>
    <w:p>
      <w:pPr>
        <w:spacing w:before="80" w:after="80"/>
        <w:ind w:left="432"/>
      </w:pPr>
      <w:r>
        <w:rPr>
          <w:rFonts w:ascii="Consolas" w:hAnsi="Consolas"/>
          <w:color w:val="282828"/>
          <w:sz w:val="19"/>
        </w:rPr>
        <w:t>Corps de la requête (POST /predict):</w:t>
        <w:br/>
        <w:t>{</w:t>
        <w:br/>
        <w:t xml:space="preserve">  "age": 42,</w:t>
        <w:br/>
        <w:t xml:space="preserve">  "income": 65000.0,</w:t>
        <w:br/>
        <w:t xml:space="preserve">  "credit_score": 750</w:t>
        <w:br/>
        <w:t>}</w:t>
      </w:r>
    </w:p>
    <w:p>
      <w:r>
        <w:t>Schéma de validation des données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Champ</w:t>
            </w:r>
          </w:p>
        </w:tc>
        <w:tc>
          <w:tcPr>
            <w:tcW w:type="dxa" w:w="2160"/>
          </w:tcPr>
          <w:p>
            <w:r>
              <w:rPr>
                <w:b/>
              </w:rPr>
              <w:t>Type</w:t>
            </w:r>
          </w:p>
        </w:tc>
        <w:tc>
          <w:tcPr>
            <w:tcW w:type="dxa" w:w="2160"/>
          </w:tcPr>
          <w:p>
            <w:r>
              <w:rPr>
                <w:b/>
              </w:rPr>
              <w:t>Contraintes</w:t>
            </w:r>
          </w:p>
        </w:tc>
        <w:tc>
          <w:tcPr>
            <w:tcW w:type="dxa" w:w="2160"/>
          </w:tcPr>
          <w:p>
            <w:r>
              <w:rPr>
                <w:b/>
              </w:rPr>
              <w:t>Description</w:t>
            </w:r>
          </w:p>
        </w:tc>
      </w:tr>
      <w:tr>
        <w:tc>
          <w:tcPr>
            <w:tcW w:type="dxa" w:w="2160"/>
          </w:tcPr>
          <w:p>
            <w:r>
              <w:t>age</w:t>
            </w:r>
          </w:p>
        </w:tc>
        <w:tc>
          <w:tcPr>
            <w:tcW w:type="dxa" w:w="2160"/>
          </w:tcPr>
          <w:p>
            <w:r>
              <w:t>Integer</w:t>
            </w:r>
          </w:p>
        </w:tc>
        <w:tc>
          <w:tcPr>
            <w:tcW w:type="dxa" w:w="2160"/>
          </w:tcPr>
          <w:p>
            <w:r>
              <w:t>0 &lt;= age &lt;= 120</w:t>
            </w:r>
          </w:p>
        </w:tc>
        <w:tc>
          <w:tcPr>
            <w:tcW w:type="dxa" w:w="2160"/>
          </w:tcPr>
          <w:p>
            <w:r>
              <w:t>Âge du client</w:t>
            </w:r>
          </w:p>
        </w:tc>
      </w:tr>
      <w:tr>
        <w:tc>
          <w:tcPr>
            <w:tcW w:type="dxa" w:w="2160"/>
          </w:tcPr>
          <w:p>
            <w:r>
              <w:t>income</w:t>
            </w:r>
          </w:p>
        </w:tc>
        <w:tc>
          <w:tcPr>
            <w:tcW w:type="dxa" w:w="2160"/>
          </w:tcPr>
          <w:p>
            <w:r>
              <w:t>Float</w:t>
            </w:r>
          </w:p>
        </w:tc>
        <w:tc>
          <w:tcPr>
            <w:tcW w:type="dxa" w:w="2160"/>
          </w:tcPr>
          <w:p>
            <w:r>
              <w:t>&gt;= 0.0</w:t>
            </w:r>
          </w:p>
        </w:tc>
        <w:tc>
          <w:tcPr>
            <w:tcW w:type="dxa" w:w="2160"/>
          </w:tcPr>
          <w:p>
            <w:r>
              <w:t>Revenu annuel</w:t>
            </w:r>
          </w:p>
        </w:tc>
      </w:tr>
      <w:tr>
        <w:tc>
          <w:tcPr>
            <w:tcW w:type="dxa" w:w="2160"/>
          </w:tcPr>
          <w:p>
            <w:r>
              <w:t>credit_score</w:t>
            </w:r>
          </w:p>
        </w:tc>
        <w:tc>
          <w:tcPr>
            <w:tcW w:type="dxa" w:w="2160"/>
          </w:tcPr>
          <w:p>
            <w:r>
              <w:t>Integer</w:t>
            </w:r>
          </w:p>
        </w:tc>
        <w:tc>
          <w:tcPr>
            <w:tcW w:type="dxa" w:w="2160"/>
          </w:tcPr>
          <w:p>
            <w:r>
              <w:t>300 &lt;= credit_score &lt;= 850</w:t>
            </w:r>
          </w:p>
        </w:tc>
        <w:tc>
          <w:tcPr>
            <w:tcW w:type="dxa" w:w="2160"/>
          </w:tcPr>
          <w:p>
            <w:r>
              <w:t>Score de crédit client</w:t>
            </w:r>
          </w:p>
        </w:tc>
      </w:tr>
    </w:tbl>
    <w:p>
      <w:pPr>
        <w:spacing w:before="160"/>
      </w:pPr>
    </w:p>
    <w:p>
      <w:pPr>
        <w:spacing w:before="80" w:after="80"/>
        <w:ind w:left="432"/>
      </w:pPr>
      <w:r>
        <w:rPr>
          <w:rFonts w:ascii="Consolas" w:hAnsi="Consolas"/>
          <w:color w:val="282828"/>
          <w:sz w:val="19"/>
        </w:rPr>
        <w:t>Réponse de succès (200 OK):</w:t>
        <w:br/>
        <w:t>{</w:t>
        <w:br/>
        <w:t xml:space="preserve">  "prediction": 1,</w:t>
        <w:br/>
        <w:t xml:space="preserve">  "probability": 0.85</w:t>
        <w:br/>
        <w:t>}</w:t>
      </w:r>
    </w:p>
    <w:p>
      <w:r>
        <w:br w:type="page"/>
      </w:r>
    </w:p>
    <w:p>
      <w:pPr>
        <w:spacing w:before="360" w:after="120"/>
      </w:pPr>
      <w:r>
        <w:rPr>
          <w:rFonts w:ascii="Calibri" w:hAnsi="Calibri"/>
          <w:b/>
          <w:color w:val="003366"/>
          <w:sz w:val="36"/>
        </w:rPr>
        <w:t>2. Documentation Technique du Modèle</w:t>
      </w:r>
    </w:p>
    <w:p>
      <w:pPr>
        <w:spacing w:before="240" w:after="80"/>
      </w:pPr>
      <w:r>
        <w:rPr>
          <w:rFonts w:ascii="Calibri" w:hAnsi="Calibri"/>
          <w:b/>
          <w:color w:val="336699"/>
          <w:sz w:val="28"/>
        </w:rPr>
        <w:t>2.1 Description du Modèle</w:t>
      </w:r>
    </w:p>
    <w:p>
      <w:r>
        <w:t>• Algorithme : Classification (Scikit-Learn / LightGBM)</w:t>
        <w:br/>
        <w:t>• Objectif : Prédire le risque de défaut d'un client pour valider ou rejeter une demande d'octroi.</w:t>
      </w:r>
    </w:p>
    <w:p>
      <w:r>
        <w:t>Pipeline de traitement :</w:t>
        <w:br/>
        <w:t>1. Imputation des valeurs manquantes.</w:t>
        <w:br/>
        <w:t>2. Normalisation / Standardisation des variables numériques (StandardScaler).</w:t>
        <w:br/>
        <w:t>3. Encodage des variables catégorielles.</w:t>
        <w:br/>
        <w:t>4. Passage des features prétraitées au classifieur.</w:t>
      </w:r>
    </w:p>
    <w:p>
      <w:pPr>
        <w:spacing w:before="240" w:after="80"/>
      </w:pPr>
      <w:r>
        <w:rPr>
          <w:rFonts w:ascii="Calibri" w:hAnsi="Calibri"/>
          <w:b/>
          <w:color w:val="336699"/>
          <w:sz w:val="28"/>
        </w:rPr>
        <w:t>2.2 Performances et Métriques</w:t>
      </w:r>
    </w:p>
    <w:p>
      <w:r>
        <w:t>Le modèle a été évalué sur un jeu de données de test indépendant (Hold-out split 80/20) :</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Valeur</w:t>
            </w:r>
          </w:p>
        </w:tc>
        <w:tc>
          <w:tcPr>
            <w:tcW w:type="dxa" w:w="2880"/>
          </w:tcPr>
          <w:p>
            <w:r>
              <w:rPr>
                <w:b/>
              </w:rPr>
              <w:t>Seuil métier cible</w:t>
            </w:r>
          </w:p>
        </w:tc>
      </w:tr>
      <w:tr>
        <w:tc>
          <w:tcPr>
            <w:tcW w:type="dxa" w:w="2880"/>
          </w:tcPr>
          <w:p>
            <w:r>
              <w:t>ROC-AUC</w:t>
            </w:r>
          </w:p>
        </w:tc>
        <w:tc>
          <w:tcPr>
            <w:tcW w:type="dxa" w:w="2880"/>
          </w:tcPr>
          <w:p>
            <w:r>
              <w:t>0.84</w:t>
            </w:r>
          </w:p>
        </w:tc>
        <w:tc>
          <w:tcPr>
            <w:tcW w:type="dxa" w:w="2880"/>
          </w:tcPr>
          <w:p>
            <w:r>
              <w:t>&gt;= 0.80</w:t>
            </w:r>
          </w:p>
        </w:tc>
      </w:tr>
      <w:tr>
        <w:tc>
          <w:tcPr>
            <w:tcW w:type="dxa" w:w="2880"/>
          </w:tcPr>
          <w:p>
            <w:r>
              <w:t>F1-Score</w:t>
            </w:r>
          </w:p>
        </w:tc>
        <w:tc>
          <w:tcPr>
            <w:tcW w:type="dxa" w:w="2880"/>
          </w:tcPr>
          <w:p>
            <w:r>
              <w:t>0.79</w:t>
            </w:r>
          </w:p>
        </w:tc>
        <w:tc>
          <w:tcPr>
            <w:tcW w:type="dxa" w:w="2880"/>
          </w:tcPr>
          <w:p>
            <w:r>
              <w:t>&gt;= 0.75</w:t>
            </w:r>
          </w:p>
        </w:tc>
      </w:tr>
      <w:tr>
        <w:tc>
          <w:tcPr>
            <w:tcW w:type="dxa" w:w="2880"/>
          </w:tcPr>
          <w:p>
            <w:r>
              <w:t>Précision</w:t>
            </w:r>
          </w:p>
        </w:tc>
        <w:tc>
          <w:tcPr>
            <w:tcW w:type="dxa" w:w="2880"/>
          </w:tcPr>
          <w:p>
            <w:r>
              <w:t>0.81</w:t>
            </w:r>
          </w:p>
        </w:tc>
        <w:tc>
          <w:tcPr>
            <w:tcW w:type="dxa" w:w="2880"/>
          </w:tcPr>
          <w:p>
            <w:r>
              <w:t>&gt;= 0.75</w:t>
            </w:r>
          </w:p>
        </w:tc>
      </w:tr>
      <w:tr>
        <w:tc>
          <w:tcPr>
            <w:tcW w:type="dxa" w:w="2880"/>
          </w:tcPr>
          <w:p>
            <w:r>
              <w:t>Rappel</w:t>
            </w:r>
          </w:p>
        </w:tc>
        <w:tc>
          <w:tcPr>
            <w:tcW w:type="dxa" w:w="2880"/>
          </w:tcPr>
          <w:p>
            <w:r>
              <w:t>0.77</w:t>
            </w:r>
          </w:p>
        </w:tc>
        <w:tc>
          <w:tcPr>
            <w:tcW w:type="dxa" w:w="2880"/>
          </w:tcPr>
          <w:p>
            <w:r>
              <w:t>&gt;= 0.70</w:t>
            </w:r>
          </w:p>
        </w:tc>
      </w:tr>
      <w:tr>
        <w:tc>
          <w:tcPr>
            <w:tcW w:type="dxa" w:w="2880"/>
          </w:tcPr>
          <w:p>
            <w:r>
              <w:t>Temps d'inférence (SLA)</w:t>
            </w:r>
          </w:p>
        </w:tc>
        <w:tc>
          <w:tcPr>
            <w:tcW w:type="dxa" w:w="2880"/>
          </w:tcPr>
          <w:p>
            <w:r>
              <w:t>&lt; 15 ms</w:t>
            </w:r>
          </w:p>
        </w:tc>
        <w:tc>
          <w:tcPr>
            <w:tcW w:type="dxa" w:w="2880"/>
          </w:tcPr>
          <w:p>
            <w:r>
              <w:t>&lt; 100 ms</w:t>
            </w:r>
          </w:p>
        </w:tc>
      </w:tr>
    </w:tbl>
    <w:p>
      <w:pPr>
        <w:spacing w:before="240" w:after="80"/>
      </w:pPr>
      <w:r>
        <w:rPr>
          <w:rFonts w:ascii="Calibri" w:hAnsi="Calibri"/>
          <w:b/>
          <w:color w:val="336699"/>
          <w:sz w:val="28"/>
        </w:rPr>
        <w:t>2.3 Dérive des Données &amp; Maintenance (Data Drift)</w:t>
      </w:r>
    </w:p>
    <w:p>
      <w:r>
        <w:t>• Détection du Data Drift : Analyse des distributions d'entrée (age, income, credit_score) via des tests statistiques (Test de Kolmogorov-Smirnov ou métrique PSI) exécutés périodiquement sur les données de production.</w:t>
        <w:br/>
        <w:t>• Logs &amp; Traçabilité : Chaque requête d'inférence et sa prédiction sont journalisées en base de données pour analyse différée.</w:t>
      </w:r>
    </w:p>
    <w:p>
      <w:r>
        <w:t>Procédure de Réentraînement :</w:t>
      </w:r>
    </w:p>
    <w:p>
      <w:r>
        <w:t>1. Fréquence : Réentraînement trimestriel automatisé ou déclenché prématurément si le calcul du PSI (Population Stability Index) dépasse 0.25 sur les features clés.</w:t>
        <w:br/>
        <w:t>2. Workflow : Récupération des nouveaux jeux de données, exécution du pipeline de réentraînement (train.py), validation des critères de performance vs. modèle en production (Challenger vs. Champion), et sérialisation de l'artefact (.joblib ou .pkl).</w:t>
      </w:r>
    </w:p>
    <w:p>
      <w:r>
        <w:br w:type="page"/>
      </w:r>
    </w:p>
    <w:p>
      <w:pPr>
        <w:spacing w:before="360" w:after="120"/>
      </w:pPr>
      <w:r>
        <w:rPr>
          <w:rFonts w:ascii="Calibri" w:hAnsi="Calibri"/>
          <w:b/>
          <w:color w:val="003366"/>
          <w:sz w:val="36"/>
        </w:rPr>
        <w:t>3. README Git et Guide de Déploiement</w:t>
      </w:r>
    </w:p>
    <w:p>
      <w:r>
        <w:t>Ce document fait office de guide principal pour la prise en main du dépôt Git et des procédures de déploiement.</w:t>
      </w:r>
    </w:p>
    <w:p>
      <w:pPr>
        <w:spacing w:before="240" w:after="80"/>
      </w:pPr>
      <w:r>
        <w:rPr>
          <w:rFonts w:ascii="Calibri" w:hAnsi="Calibri"/>
          <w:b/>
          <w:color w:val="336699"/>
          <w:sz w:val="28"/>
        </w:rPr>
        <w:t>3.1 Structure du Projet</w:t>
      </w:r>
    </w:p>
    <w:p>
      <w:pPr>
        <w:spacing w:before="80" w:after="80"/>
        <w:ind w:left="432"/>
      </w:pPr>
      <w:r>
        <w:rPr>
          <w:rFonts w:ascii="Consolas" w:hAnsi="Consolas"/>
          <w:color w:val="282828"/>
          <w:sz w:val="19"/>
        </w:rPr>
        <w:t>modele_machine-learning/</w:t>
        <w:br/>
        <w:t>├── app/</w:t>
        <w:br/>
        <w:t>│   ├── __init__.py</w:t>
        <w:br/>
        <w:t>│   ├── main.py            # API FastAPI et endpoints</w:t>
        <w:br/>
        <w:t>│   ├── database.py        # Configuration de la base de données</w:t>
        <w:br/>
        <w:t>│   └── ml_model.py        # Fonctions de prétraitement et de prédiction ML</w:t>
        <w:br/>
        <w:t>├── tests/</w:t>
        <w:br/>
        <w:t>│   ├── __init__.py</w:t>
        <w:br/>
        <w:t>│   ├── conftest.py        # Fixtures Pytest (client de test FastAPI)</w:t>
        <w:br/>
        <w:t>│   ├── unit/</w:t>
        <w:br/>
        <w:t>│   │   └── test_functions.py</w:t>
        <w:br/>
        <w:t>│   └── functional/</w:t>
        <w:br/>
        <w:t>│       └── test_api.py</w:t>
        <w:br/>
        <w:t>├── requirements.txt</w:t>
        <w:br/>
        <w:t>├── pytest.ini</w:t>
        <w:br/>
        <w:t>└── README.md</w:t>
      </w:r>
    </w:p>
    <w:p>
      <w:pPr>
        <w:spacing w:before="240" w:after="80"/>
      </w:pPr>
      <w:r>
        <w:rPr>
          <w:rFonts w:ascii="Calibri" w:hAnsi="Calibri"/>
          <w:b/>
          <w:color w:val="336699"/>
          <w:sz w:val="28"/>
        </w:rPr>
        <w:t>3.2 Installation et Démarrage</w:t>
      </w:r>
    </w:p>
    <w:p>
      <w:pPr>
        <w:spacing w:before="80" w:after="80"/>
        <w:ind w:left="432"/>
      </w:pPr>
      <w:r>
        <w:rPr>
          <w:rFonts w:ascii="Consolas" w:hAnsi="Consolas"/>
          <w:color w:val="282828"/>
          <w:sz w:val="19"/>
        </w:rPr>
        <w:t># 1. Cloner le projet</w:t>
        <w:br/>
        <w:t>git clone &lt;url-du-repo&gt;</w:t>
        <w:br/>
        <w:t>cd modele_machine-learning</w:t>
        <w:br/>
        <w:br/>
        <w:t># 2. Créer et activer l'environnement virtuel</w:t>
        <w:br/>
        <w:t>python -m venv .venv</w:t>
        <w:br/>
        <w:t>source .venv/bin/activate  # Sur macOS/Linux</w:t>
        <w:br/>
        <w:br/>
        <w:t># 3. Installer les dépendances</w:t>
        <w:br/>
        <w:t>pip install -r requirements.txt</w:t>
        <w:br/>
        <w:br/>
        <w:t># 4. Lancer le serveur d'application local</w:t>
        <w:br/>
        <w:t>uvicorn app.main:app --reload</w:t>
      </w:r>
    </w:p>
    <w:p>
      <w:pPr>
        <w:spacing w:before="240" w:after="80"/>
      </w:pPr>
      <w:r>
        <w:rPr>
          <w:rFonts w:ascii="Calibri" w:hAnsi="Calibri"/>
          <w:b/>
          <w:color w:val="336699"/>
          <w:sz w:val="28"/>
        </w:rPr>
        <w:t>3.3 Exécution des Tests</w:t>
      </w:r>
    </w:p>
    <w:p>
      <w:pPr>
        <w:spacing w:before="80" w:after="80"/>
        <w:ind w:left="432"/>
      </w:pPr>
      <w:r>
        <w:rPr>
          <w:rFonts w:ascii="Consolas" w:hAnsi="Consolas"/>
          <w:color w:val="282828"/>
          <w:sz w:val="19"/>
        </w:rPr>
        <w:t># Lancer l'ensemble des tests avec mesure de couverture :</w:t>
        <w:br/>
        <w:t>python -m pytest --cov=app -v</w:t>
      </w:r>
    </w:p>
    <w:p>
      <w:pPr>
        <w:spacing w:before="240" w:after="80"/>
      </w:pPr>
      <w:r>
        <w:rPr>
          <w:rFonts w:ascii="Calibri" w:hAnsi="Calibri"/>
          <w:b/>
          <w:color w:val="336699"/>
          <w:sz w:val="28"/>
        </w:rPr>
        <w:t>3.4 Déploiement en Production</w:t>
      </w:r>
    </w:p>
    <w:p>
      <w:r>
        <w:t>Déploiement via Docker :</w:t>
      </w:r>
    </w:p>
    <w:p>
      <w:pPr>
        <w:spacing w:before="80" w:after="80"/>
        <w:ind w:left="432"/>
      </w:pPr>
      <w:r>
        <w:rPr>
          <w:rFonts w:ascii="Consolas" w:hAnsi="Consolas"/>
          <w:color w:val="282828"/>
          <w:sz w:val="19"/>
        </w:rPr>
        <w:t># Construire l'image Docker</w:t>
        <w:br/>
        <w:t>docker build -t ml-scoring-api:latest .</w:t>
        <w:br/>
        <w:br/>
        <w:t># Exécuter le conteneur</w:t>
        <w:br/>
        <w:t>docker run -d -p 8000:8000 --name ml-api ml-scoring-api:latest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