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4B9F" w:rsidRPr="00434B9F" w:rsidRDefault="00434B9F">
      <w:pPr>
        <w:rPr>
          <w:rFonts w:hint="eastAsia"/>
          <w:b/>
        </w:rPr>
      </w:pPr>
      <w:r w:rsidRPr="00434B9F">
        <w:rPr>
          <w:b/>
        </w:rPr>
        <w:t>ACS Receptor Selection: FABP vs Serum Albumin</w:t>
      </w:r>
    </w:p>
    <w:p w:rsidR="00434B9F" w:rsidRPr="00434B9F" w:rsidRDefault="00434B9F">
      <w:pPr>
        <w:rPr>
          <w:rFonts w:hint="eastAsia"/>
          <w:color w:val="00B050"/>
        </w:rPr>
      </w:pPr>
      <w:r w:rsidRPr="00434B9F">
        <w:rPr>
          <w:color w:val="00B050"/>
        </w:rPr>
        <w:t xml:space="preserve">Notebook: </w:t>
      </w:r>
      <w:r w:rsidRPr="00434B9F">
        <w:rPr>
          <w:rFonts w:hint="eastAsia"/>
          <w:color w:val="00B050"/>
        </w:rPr>
        <w:t>Paper_4FA_Receptors.ipynb</w:t>
      </w:r>
    </w:p>
    <w:p w:rsidR="00434B9F" w:rsidRPr="00434B9F" w:rsidRDefault="00434B9F" w:rsidP="00434B9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B050"/>
          <w:kern w:val="0"/>
          <w:sz w:val="21"/>
          <w:szCs w:val="21"/>
          <w14:ligatures w14:val="none"/>
        </w:rPr>
      </w:pPr>
      <w:r w:rsidRPr="00434B9F">
        <w:rPr>
          <w:color w:val="00B050"/>
        </w:rPr>
        <w:t xml:space="preserve">Dataset: </w:t>
      </w:r>
      <w:r w:rsidRPr="00434B9F">
        <w:rPr>
          <w:rFonts w:ascii="Courier New" w:eastAsia="Times New Roman" w:hAnsi="Courier New" w:cs="Courier New"/>
          <w:color w:val="00B050"/>
          <w:kern w:val="0"/>
          <w:sz w:val="21"/>
          <w:szCs w:val="21"/>
          <w14:ligatures w14:val="none"/>
        </w:rPr>
        <w:t>Paper_New_4FA_withoutPSA.xlsx, Paper_Old_4FA_EOnly.csv</w:t>
      </w:r>
    </w:p>
    <w:p w:rsidR="00434B9F" w:rsidRDefault="00434B9F" w:rsidP="00434B9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:rsidR="00434B9F" w:rsidRPr="00434B9F" w:rsidRDefault="00434B9F" w:rsidP="00434B9F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434B9F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3D PCA</w:t>
      </w:r>
    </w:p>
    <w:p w:rsidR="00434B9F" w:rsidRDefault="00434B9F" w:rsidP="00434B9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Serum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Albumin(</w:t>
      </w:r>
      <w:proofErr w:type="gramEnd"/>
      <w:r w:rsidR="001D5B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HAS,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BSA</w:t>
      </w:r>
      <w:r w:rsidR="001D5B4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GSA)</w:t>
      </w:r>
    </w:p>
    <w:p w:rsidR="00434B9F" w:rsidRDefault="00434B9F" w:rsidP="00434B9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rFonts w:ascii="Courier New" w:hAnsi="Courier New" w:cs="Courier New"/>
          <w:noProof/>
          <w:color w:val="000000"/>
          <w:sz w:val="21"/>
          <w:szCs w:val="21"/>
        </w:rPr>
        <w:drawing>
          <wp:inline distT="0" distB="0" distL="0" distR="0">
            <wp:extent cx="3267490" cy="3362325"/>
            <wp:effectExtent l="0" t="0" r="9525" b="0"/>
            <wp:docPr id="1" name="Picture 1" descr="C:\Users\Dooman Na\AppData\Local\Microsoft\Windows\INetCache\Content.MSO\CBFE82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oman Na\AppData\Local\Microsoft\Windows\INetCache\Content.MSO\CBFE829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203" cy="338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B9F" w:rsidRPr="00434B9F" w:rsidRDefault="00434B9F" w:rsidP="00434B9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FABP(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FABP1, 2,3)</w:t>
      </w:r>
    </w:p>
    <w:p w:rsidR="00434B9F" w:rsidRDefault="00434B9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165669" cy="3257550"/>
            <wp:effectExtent l="0" t="0" r="0" b="0"/>
            <wp:docPr id="2" name="Picture 2" descr="C:\Users\Dooman Na\AppData\Local\Microsoft\Windows\INetCache\Content.MSO\5B4C3C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oman Na\AppData\Local\Microsoft\Windows\INetCache\Content.MSO\5B4C3C66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133" cy="32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B9F" w:rsidRDefault="00434B9F" w:rsidP="0043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4B9F" w:rsidRPr="00434B9F" w:rsidRDefault="00434B9F" w:rsidP="0043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14:ligatures w14:val="none"/>
        </w:rPr>
      </w:pPr>
      <w:r w:rsidRPr="00434B9F">
        <w:rPr>
          <w:rFonts w:ascii="Courier New" w:eastAsia="Times New Roman" w:hAnsi="Courier New" w:cs="Courier New"/>
          <w:b/>
          <w:kern w:val="0"/>
          <w:sz w:val="20"/>
          <w:szCs w:val="20"/>
          <w14:ligatures w14:val="none"/>
        </w:rPr>
        <w:lastRenderedPageBreak/>
        <w:t>LDA LOOCV</w:t>
      </w:r>
    </w:p>
    <w:p w:rsidR="00434B9F" w:rsidRDefault="00434B9F" w:rsidP="0043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4B9F" w:rsidRDefault="00434B9F" w:rsidP="00434B9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Serum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Albumin(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HAS&lt; BSA&lt; GSA)</w:t>
      </w:r>
    </w:p>
    <w:p w:rsidR="00434B9F" w:rsidRDefault="00434B9F" w:rsidP="0043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4B9F" w:rsidRPr="00434B9F" w:rsidRDefault="00434B9F" w:rsidP="0043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tbl>
      <w:tblPr>
        <w:tblW w:w="9519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406"/>
        <w:gridCol w:w="2708"/>
        <w:gridCol w:w="3073"/>
      </w:tblGrid>
      <w:tr w:rsidR="00434B9F" w:rsidRPr="00434B9F" w:rsidTr="00434B9F">
        <w:trPr>
          <w:trHeight w:val="324"/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Groups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 Dev Accuracy</w:t>
            </w:r>
          </w:p>
        </w:tc>
      </w:tr>
      <w:tr w:rsidR="00434B9F" w:rsidRPr="00434B9F" w:rsidTr="00434B9F">
        <w:trPr>
          <w:trHeight w:val="34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GSA_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0.000000</w:t>
            </w:r>
          </w:p>
        </w:tc>
      </w:tr>
      <w:tr w:rsidR="00434B9F" w:rsidRPr="00434B9F" w:rsidTr="00434B9F">
        <w:trPr>
          <w:trHeight w:val="324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GSA_+HSA_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0.000000</w:t>
            </w:r>
          </w:p>
        </w:tc>
      </w:tr>
      <w:tr w:rsidR="00434B9F" w:rsidRPr="00434B9F" w:rsidTr="00434B9F">
        <w:trPr>
          <w:trHeight w:val="34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BSA_+GSA_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0.000000</w:t>
            </w:r>
          </w:p>
        </w:tc>
      </w:tr>
      <w:tr w:rsidR="00434B9F" w:rsidRPr="00434B9F" w:rsidTr="00434B9F">
        <w:trPr>
          <w:trHeight w:val="324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BSA_+GSA_+HSA_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0.000000</w:t>
            </w:r>
          </w:p>
        </w:tc>
      </w:tr>
      <w:tr w:rsidR="00434B9F" w:rsidRPr="00434B9F" w:rsidTr="00434B9F">
        <w:trPr>
          <w:trHeight w:val="324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BSA_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0.833333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0.372678</w:t>
            </w:r>
          </w:p>
        </w:tc>
      </w:tr>
      <w:tr w:rsidR="00434B9F" w:rsidRPr="00434B9F" w:rsidTr="00434B9F">
        <w:trPr>
          <w:trHeight w:val="34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BSA_+HSA_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0.433013</w:t>
            </w:r>
          </w:p>
        </w:tc>
      </w:tr>
      <w:tr w:rsidR="00434B9F" w:rsidRPr="00434B9F" w:rsidTr="00434B9F">
        <w:trPr>
          <w:trHeight w:val="324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HSA_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0.333333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0.471405</w:t>
            </w:r>
          </w:p>
        </w:tc>
      </w:tr>
    </w:tbl>
    <w:p w:rsidR="00434B9F" w:rsidRDefault="00434B9F">
      <w:pPr>
        <w:rPr>
          <w:rFonts w:hint="eastAsia"/>
        </w:rPr>
      </w:pPr>
    </w:p>
    <w:p w:rsidR="00434B9F" w:rsidRDefault="00434B9F">
      <w:pPr>
        <w:rPr>
          <w:rFonts w:hint="eastAsia"/>
        </w:rPr>
      </w:pPr>
    </w:p>
    <w:p w:rsidR="00434B9F" w:rsidRPr="00434B9F" w:rsidRDefault="00434B9F" w:rsidP="00434B9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FABP(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FABP1, 2,3_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Ethnol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:rsidR="00434B9F" w:rsidRPr="00434B9F" w:rsidRDefault="00434B9F" w:rsidP="00434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tbl>
      <w:tblPr>
        <w:tblW w:w="9591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3189"/>
        <w:gridCol w:w="2837"/>
        <w:gridCol w:w="3219"/>
      </w:tblGrid>
      <w:tr w:rsidR="00434B9F" w:rsidRPr="00434B9F" w:rsidTr="00434B9F">
        <w:trPr>
          <w:trHeight w:val="290"/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Groups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 Dev Accuracy</w:t>
            </w:r>
          </w:p>
        </w:tc>
      </w:tr>
      <w:tr w:rsidR="00434B9F" w:rsidRPr="00434B9F" w:rsidTr="00434B9F">
        <w:trPr>
          <w:trHeight w:val="30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0.666667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0.471405</w:t>
            </w:r>
          </w:p>
        </w:tc>
      </w:tr>
      <w:tr w:rsidR="00434B9F" w:rsidRPr="00434B9F" w:rsidTr="00434B9F">
        <w:trPr>
          <w:trHeight w:val="290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F1E_+F2E_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0.500000</w:t>
            </w:r>
          </w:p>
        </w:tc>
      </w:tr>
      <w:tr w:rsidR="00434B9F" w:rsidRPr="00434B9F" w:rsidTr="00434B9F">
        <w:trPr>
          <w:trHeight w:val="30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F2E_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0.333333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0.471405</w:t>
            </w:r>
          </w:p>
        </w:tc>
      </w:tr>
      <w:tr w:rsidR="00434B9F" w:rsidRPr="00434B9F" w:rsidTr="00434B9F">
        <w:trPr>
          <w:trHeight w:val="290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F3E_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0.433013</w:t>
            </w:r>
          </w:p>
        </w:tc>
      </w:tr>
      <w:tr w:rsidR="00434B9F" w:rsidRPr="00434B9F" w:rsidTr="00434B9F">
        <w:trPr>
          <w:trHeight w:val="290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F1E_+F3E_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0.083333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0.276385</w:t>
            </w:r>
          </w:p>
        </w:tc>
      </w:tr>
      <w:tr w:rsidR="00434B9F" w:rsidRPr="00434B9F" w:rsidTr="00434B9F">
        <w:trPr>
          <w:trHeight w:val="30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F2E_+F3E_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0.000000</w:t>
            </w:r>
          </w:p>
        </w:tc>
      </w:tr>
      <w:tr w:rsidR="00434B9F" w:rsidRPr="00434B9F" w:rsidTr="00434B9F">
        <w:trPr>
          <w:trHeight w:val="290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34B9F" w:rsidRPr="00434B9F" w:rsidRDefault="00434B9F" w:rsidP="00434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F1E_+F2E_+F3E_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34B9F" w:rsidRPr="00434B9F" w:rsidRDefault="00434B9F" w:rsidP="00434B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4B9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0.000000</w:t>
            </w:r>
          </w:p>
        </w:tc>
      </w:tr>
    </w:tbl>
    <w:p w:rsidR="00434B9F" w:rsidRDefault="00434B9F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</w:rPr>
      </w:pPr>
    </w:p>
    <w:p w:rsidR="001D5B4B" w:rsidRDefault="001D5B4B">
      <w:pPr>
        <w:rPr>
          <w:rFonts w:hint="eastAsia"/>
          <w:b/>
        </w:rPr>
      </w:pPr>
      <w:r w:rsidRPr="001D5B4B">
        <w:rPr>
          <w:b/>
        </w:rPr>
        <w:lastRenderedPageBreak/>
        <w:t>FABP vs BSA</w:t>
      </w:r>
    </w:p>
    <w:p w:rsidR="001D5B4B" w:rsidRPr="001D5B4B" w:rsidRDefault="001D5B4B">
      <w:pPr>
        <w:rPr>
          <w:rFonts w:hint="eastAsia"/>
          <w:color w:val="00B050"/>
        </w:rPr>
      </w:pPr>
      <w:r w:rsidRPr="001D5B4B">
        <w:rPr>
          <w:color w:val="00B050"/>
        </w:rPr>
        <w:t xml:space="preserve">Notebook: </w:t>
      </w:r>
      <w:proofErr w:type="spellStart"/>
      <w:r w:rsidRPr="001D5B4B">
        <w:rPr>
          <w:rFonts w:hint="eastAsia"/>
          <w:color w:val="00B050"/>
        </w:rPr>
        <w:t>ACS_Recetors_OldData.ipynb</w:t>
      </w:r>
      <w:proofErr w:type="spellEnd"/>
    </w:p>
    <w:p w:rsidR="001D5B4B" w:rsidRPr="001D5B4B" w:rsidRDefault="001D5B4B" w:rsidP="001D5B4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B050"/>
          <w:kern w:val="0"/>
          <w:sz w:val="21"/>
          <w:szCs w:val="21"/>
          <w14:ligatures w14:val="none"/>
        </w:rPr>
      </w:pPr>
      <w:r w:rsidRPr="001D5B4B">
        <w:rPr>
          <w:color w:val="00B050"/>
        </w:rPr>
        <w:t xml:space="preserve">Dataset: </w:t>
      </w:r>
      <w:r w:rsidRPr="001D5B4B">
        <w:rPr>
          <w:rFonts w:ascii="Courier New" w:eastAsia="Times New Roman" w:hAnsi="Courier New" w:cs="Courier New"/>
          <w:color w:val="00B050"/>
          <w:kern w:val="0"/>
          <w:sz w:val="21"/>
          <w:szCs w:val="21"/>
          <w14:ligatures w14:val="none"/>
        </w:rPr>
        <w:t>ACS_OldData_Receptors.xlsx</w:t>
      </w:r>
    </w:p>
    <w:p w:rsidR="001D5B4B" w:rsidRPr="001D5B4B" w:rsidRDefault="001D5B4B" w:rsidP="001D5B4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B050"/>
          <w:kern w:val="0"/>
          <w:sz w:val="21"/>
          <w:szCs w:val="21"/>
          <w14:ligatures w14:val="none"/>
        </w:rPr>
      </w:pPr>
      <w:r w:rsidRPr="001D5B4B">
        <w:rPr>
          <w:rFonts w:ascii="Courier New" w:eastAsia="Times New Roman" w:hAnsi="Courier New" w:cs="Courier New"/>
          <w:color w:val="00B050"/>
          <w:kern w:val="0"/>
          <w:sz w:val="21"/>
          <w:szCs w:val="21"/>
          <w14:ligatures w14:val="none"/>
        </w:rPr>
        <w:t xml:space="preserve">       ACS_OldData_Receptors_Full.xlsx</w:t>
      </w:r>
    </w:p>
    <w:p w:rsidR="001D5B4B" w:rsidRPr="001D5B4B" w:rsidRDefault="001D5B4B" w:rsidP="001D5B4B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</w:p>
    <w:p w:rsidR="001D5B4B" w:rsidRPr="001D5B4B" w:rsidRDefault="001D5B4B" w:rsidP="001D5B4B">
      <w:pPr>
        <w:shd w:val="clear" w:color="auto" w:fill="FFFFFF"/>
        <w:spacing w:line="285" w:lineRule="atLeast"/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</w:pPr>
      <w:r w:rsidRPr="001D5B4B">
        <w:rPr>
          <w:rFonts w:ascii="Courier New" w:eastAsia="Times New Roman" w:hAnsi="Courier New" w:cs="Courier New"/>
          <w:b/>
          <w:color w:val="000000"/>
          <w:kern w:val="0"/>
          <w:sz w:val="21"/>
          <w:szCs w:val="21"/>
          <w14:ligatures w14:val="none"/>
        </w:rPr>
        <w:t>3D LDA</w:t>
      </w:r>
    </w:p>
    <w:p w:rsidR="001D5B4B" w:rsidRDefault="001D5B4B" w:rsidP="001D5B4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:rsidR="001D5B4B" w:rsidRPr="001D5B4B" w:rsidRDefault="001D5B4B" w:rsidP="001D5B4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rFonts w:ascii="Courier New" w:hAnsi="Courier New" w:cs="Courier New"/>
          <w:noProof/>
          <w:color w:val="000000"/>
          <w:sz w:val="21"/>
          <w:szCs w:val="21"/>
        </w:rPr>
        <w:drawing>
          <wp:inline distT="0" distB="0" distL="0" distR="0">
            <wp:extent cx="6164802" cy="5191125"/>
            <wp:effectExtent l="0" t="0" r="7620" b="0"/>
            <wp:docPr id="3" name="Picture 3" descr="C:\Users\Dooman Na\AppData\Local\Microsoft\Windows\INetCache\Content.MSO\39CFC7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oman Na\AppData\Local\Microsoft\Windows\INetCache\Content.MSO\39CFC7E1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946" cy="519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B4B" w:rsidRDefault="001D5B4B">
      <w:pPr>
        <w:rPr>
          <w:b/>
        </w:rPr>
      </w:pPr>
    </w:p>
    <w:p w:rsidR="00135026" w:rsidRDefault="00135026">
      <w:pPr>
        <w:rPr>
          <w:b/>
        </w:rPr>
      </w:pPr>
    </w:p>
    <w:p w:rsidR="00135026" w:rsidRDefault="00135026">
      <w:pPr>
        <w:rPr>
          <w:b/>
        </w:rPr>
      </w:pPr>
    </w:p>
    <w:p w:rsidR="00135026" w:rsidRDefault="00135026">
      <w:pPr>
        <w:rPr>
          <w:b/>
        </w:rPr>
      </w:pPr>
    </w:p>
    <w:p w:rsidR="00135026" w:rsidRDefault="00135026">
      <w:pPr>
        <w:rPr>
          <w:b/>
        </w:rPr>
      </w:pPr>
    </w:p>
    <w:p w:rsidR="00135026" w:rsidRDefault="00135026">
      <w:pPr>
        <w:rPr>
          <w:b/>
        </w:rPr>
      </w:pP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kern w:val="0"/>
          <w14:ligatures w14:val="none"/>
        </w:rPr>
        <w:lastRenderedPageBreak/>
        <w:t>Human Serum Albumin (HSA), Fatty Acid Binding Proteins (FABPs), Peroxisome Proliferator-Activated Receptors (PPARs), and Fatty Acid Transport Proteins (FATPs) form a sequential biological cascade for lipid transport, cellular uptake, and gene regulation. Each has highly distinct structural binding mechanisms and capacities. [</w:t>
      </w:r>
      <w:hyperlink r:id="rId8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9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0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1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2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kern w:val="0"/>
          <w14:ligatures w14:val="none"/>
        </w:rPr>
        <w:t>Here are the specific characteristics and capacities of these binding proteins: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1. Human Serum Albumin (HSA)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kern w:val="0"/>
          <w14:ligatures w14:val="none"/>
        </w:rPr>
        <w:t>HSA is the primary extracellular carrier for long-chain fatty acids (LCFAs) in the bloodstream. [</w:t>
      </w:r>
      <w:hyperlink r:id="rId13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4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5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Binding Capacity: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HSA features multiple binding sites (typically up to </w:t>
      </w: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7 sites</w:t>
      </w:r>
      <w:r w:rsidRPr="00135026">
        <w:rPr>
          <w:rFonts w:ascii="Arial" w:eastAsia="Times New Roman" w:hAnsi="Arial" w:cs="Arial"/>
          <w:kern w:val="0"/>
          <w14:ligatures w14:val="none"/>
        </w:rPr>
        <w:t>, with 2 primary high-affinity sites) for various lipophilic compounds, including LCFAs, drugs, and hormones.</w:t>
      </w:r>
    </w:p>
    <w:p w:rsidR="00135026" w:rsidRPr="00135026" w:rsidRDefault="00135026" w:rsidP="0013502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Affinity: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Exhibits dissociation constant (\(K_{d}\)) values in the nanomolar to low micromolar range depending on the fatty acid structure. [</w:t>
      </w:r>
      <w:hyperlink r:id="rId16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7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8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9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0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2. Fatty Acid Binding Proteins (FABPs)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kern w:val="0"/>
          <w14:ligatures w14:val="none"/>
        </w:rPr>
        <w:t>FABPs act as intracellular lipid chaperones and gene-activation facilitators. [</w:t>
      </w:r>
      <w:hyperlink r:id="rId21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2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3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Binding Capacity: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Each FABP molecule typically binds </w:t>
      </w: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1 fatty acid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within its internal water-filled β-barrel cavity.</w:t>
      </w:r>
    </w:p>
    <w:p w:rsidR="00135026" w:rsidRPr="00135026" w:rsidRDefault="00135026" w:rsidP="0013502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Affinity &amp; Specificity: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Shows strong \(K_{d}\) values (nanomolar range) for saturated and unsaturated LCFAs (≥ 14C), which correlate directly with the ligand's hydrophobicity. [</w:t>
      </w:r>
      <w:hyperlink r:id="rId24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5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6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7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3. Peroxisome Proliferator-Activated Receptors (PPARs)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kern w:val="0"/>
          <w14:ligatures w14:val="none"/>
        </w:rPr>
        <w:t>PPARs are nuclear transcription factors that regulate lipid metabolism, inflammation, and cellular differentiation upon lipid binding. [</w:t>
      </w:r>
      <w:hyperlink r:id="rId28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9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30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31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32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Binding Capacity: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They bind </w:t>
      </w: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1 ligand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at a time within their ligand-binding domain (LBD).</w:t>
      </w:r>
    </w:p>
    <w:p w:rsidR="00135026" w:rsidRPr="00135026" w:rsidRDefault="00135026" w:rsidP="0013502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Functional Coupling: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Specific FABPs (like A-FABP and L-FABP) physically dock into PPARs to directly channel and shuttle LCFAs/synthetic ligands (e.g., fibrates) directly to the nucleus for transcription activation. [</w:t>
      </w:r>
      <w:hyperlink r:id="rId33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34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35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36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4. Fatty Acid Transport Proteins (FATPs / SLC27)</w:t>
      </w:r>
    </w:p>
    <w:p w:rsidR="00135026" w:rsidRPr="00135026" w:rsidRDefault="00135026" w:rsidP="00135026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kern w:val="0"/>
          <w14:ligatures w14:val="none"/>
        </w:rPr>
        <w:t>FATPs are transmembrane proteins located on the cell surface that facilitate the actual uptake of extracellular LCFAs. [</w:t>
      </w:r>
      <w:hyperlink r:id="rId37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38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Binding Capacity &amp; Function: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FATPs operate at the cell membrane where they reversibly bind fatty acids and also possess </w:t>
      </w: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acyl-CoA synthetase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activity. [</w:t>
      </w:r>
      <w:hyperlink r:id="rId39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35026" w:rsidRDefault="00135026" w:rsidP="0013502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135026">
        <w:rPr>
          <w:rFonts w:ascii="Arial" w:eastAsia="Times New Roman" w:hAnsi="Arial" w:cs="Arial"/>
          <w:b/>
          <w:bCs/>
          <w:kern w:val="0"/>
          <w14:ligatures w14:val="none"/>
        </w:rPr>
        <w:t>Mechanism:</w:t>
      </w:r>
      <w:r w:rsidRPr="00135026">
        <w:rPr>
          <w:rFonts w:ascii="Arial" w:eastAsia="Times New Roman" w:hAnsi="Arial" w:cs="Arial"/>
          <w:kern w:val="0"/>
          <w14:ligatures w14:val="none"/>
        </w:rPr>
        <w:t xml:space="preserve"> Upon binding a fatty acid, FATPs immediately convert it to a bulky fatty acyl-CoA, ensuring the lipid remains trapped inside the cell for downstream processing (such as β-oxidation or lipid storage). [</w:t>
      </w:r>
      <w:hyperlink r:id="rId40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41" w:history="1">
        <w:r w:rsidRPr="00135026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135026">
        <w:rPr>
          <w:rFonts w:ascii="Arial" w:eastAsia="Times New Roman" w:hAnsi="Arial" w:cs="Arial"/>
          <w:kern w:val="0"/>
          <w14:ligatures w14:val="none"/>
        </w:rPr>
        <w:t>]</w:t>
      </w:r>
    </w:p>
    <w:p w:rsidR="00135026" w:rsidRPr="001D5B4B" w:rsidRDefault="00135026">
      <w:pPr>
        <w:rPr>
          <w:rFonts w:hint="eastAsia"/>
          <w:b/>
        </w:rPr>
      </w:pPr>
      <w:bookmarkStart w:id="0" w:name="_GoBack"/>
      <w:bookmarkEnd w:id="0"/>
    </w:p>
    <w:sectPr w:rsidR="00135026" w:rsidRPr="001D5B4B" w:rsidSect="00434B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402C"/>
    <w:multiLevelType w:val="multilevel"/>
    <w:tmpl w:val="210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14D92"/>
    <w:multiLevelType w:val="multilevel"/>
    <w:tmpl w:val="3A3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14133"/>
    <w:multiLevelType w:val="multilevel"/>
    <w:tmpl w:val="12D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12C73"/>
    <w:multiLevelType w:val="multilevel"/>
    <w:tmpl w:val="D4B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9F"/>
    <w:rsid w:val="00135026"/>
    <w:rsid w:val="001D5B4B"/>
    <w:rsid w:val="002E3C0C"/>
    <w:rsid w:val="00434B9F"/>
    <w:rsid w:val="00D8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5DA1"/>
  <w15:chartTrackingRefBased/>
  <w15:docId w15:val="{BB3153D8-2884-4E4B-99D1-35F8B90E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B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3502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5026"/>
    <w:rPr>
      <w:b/>
      <w:bCs/>
    </w:rPr>
  </w:style>
  <w:style w:type="paragraph" w:customStyle="1" w:styleId="z1qcye">
    <w:name w:val="z1qcye"/>
    <w:basedOn w:val="Normal"/>
    <w:rsid w:val="00135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135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58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3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88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3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4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02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40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1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85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005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997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7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04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1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bc.org/article/S0021-9258(19)46870-1/fulltext" TargetMode="External"/><Relationship Id="rId18" Type="http://schemas.openxmlformats.org/officeDocument/2006/relationships/hyperlink" Target="https://pmc.ncbi.nlm.nih.gov/articles/PMC4504500/" TargetMode="External"/><Relationship Id="rId26" Type="http://schemas.openxmlformats.org/officeDocument/2006/relationships/hyperlink" Target="https://link.springer.com/article/10.1186/1479-7364-5-3-170" TargetMode="External"/><Relationship Id="rId39" Type="http://schemas.openxmlformats.org/officeDocument/2006/relationships/hyperlink" Target="https://www.researchgate.net/publication/11632225_A_new_concept_of_cellular_uptake_and_intracellular_trafficking_of_long-chain_fatty_acids" TargetMode="External"/><Relationship Id="rId21" Type="http://schemas.openxmlformats.org/officeDocument/2006/relationships/hyperlink" Target="https://www.sciencedirect.com/science/article/abs/pii/S0223523425004003" TargetMode="External"/><Relationship Id="rId34" Type="http://schemas.openxmlformats.org/officeDocument/2006/relationships/hyperlink" Target="https://pmc.ncbi.nlm.nih.gov/articles/PMC3588188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0160412023002246" TargetMode="External"/><Relationship Id="rId20" Type="http://schemas.openxmlformats.org/officeDocument/2006/relationships/hyperlink" Target="https://pmc.ncbi.nlm.nih.gov/articles/PMC5491222/" TargetMode="External"/><Relationship Id="rId29" Type="http://schemas.openxmlformats.org/officeDocument/2006/relationships/hyperlink" Target="https://www.sciencedirect.com/science/article/abs/pii/S0223523425004003" TargetMode="External"/><Relationship Id="rId41" Type="http://schemas.openxmlformats.org/officeDocument/2006/relationships/hyperlink" Target="https://pmc.ncbi.nlm.nih.gov/articles/PMC12626542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mc.ncbi.nlm.nih.gov/articles/PMC10741572/" TargetMode="External"/><Relationship Id="rId24" Type="http://schemas.openxmlformats.org/officeDocument/2006/relationships/hyperlink" Target="https://www.jlr.org/article/S0022-2275(20)30599-X/fulltext" TargetMode="External"/><Relationship Id="rId32" Type="http://schemas.openxmlformats.org/officeDocument/2006/relationships/hyperlink" Target="https://pmc.ncbi.nlm.nih.gov/articles/PMC10643730/" TargetMode="External"/><Relationship Id="rId37" Type="http://schemas.openxmlformats.org/officeDocument/2006/relationships/hyperlink" Target="https://www.researchgate.net/publication/12249750_Cellular_uptake_of_long-chain_fatty_acids_Role_of_membrane-associated_fatty-acid-bindingtransport_proteins" TargetMode="External"/><Relationship Id="rId40" Type="http://schemas.openxmlformats.org/officeDocument/2006/relationships/hyperlink" Target="https://www.researchgate.net/publication/11632225_A_new_concept_of_cellular_uptake_and_intracellular_trafficking_of_long-chain_fatty_acid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mc.ncbi.nlm.nih.gov/articles/PMC9227768/" TargetMode="External"/><Relationship Id="rId23" Type="http://schemas.openxmlformats.org/officeDocument/2006/relationships/hyperlink" Target="https://pmc.ncbi.nlm.nih.gov/articles/PMC4447964/" TargetMode="External"/><Relationship Id="rId28" Type="http://schemas.openxmlformats.org/officeDocument/2006/relationships/hyperlink" Target="https://pmc.ncbi.nlm.nih.gov/articles/PMC139777/" TargetMode="External"/><Relationship Id="rId36" Type="http://schemas.openxmlformats.org/officeDocument/2006/relationships/hyperlink" Target="https://pmc.ncbi.nlm.nih.gov/articles/PMC3887706/" TargetMode="External"/><Relationship Id="rId10" Type="http://schemas.openxmlformats.org/officeDocument/2006/relationships/hyperlink" Target="https://onlinelibrary.wiley.com/doi/full/10.1002/mnfr.201200182" TargetMode="External"/><Relationship Id="rId19" Type="http://schemas.openxmlformats.org/officeDocument/2006/relationships/hyperlink" Target="https://pubs.acs.org/doi/10.1021/acsomega.1c04592" TargetMode="External"/><Relationship Id="rId31" Type="http://schemas.openxmlformats.org/officeDocument/2006/relationships/hyperlink" Target="https://pmc.ncbi.nlm.nih.gov/articles/PMC52927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10666148_A_current_review_of_fatty_acid_transport_proteins_SLC27" TargetMode="External"/><Relationship Id="rId14" Type="http://schemas.openxmlformats.org/officeDocument/2006/relationships/hyperlink" Target="https://www.cell.com/molecular-therapy-family/molecular-therapy/fulltext/S1525-0016(23)00210-1" TargetMode="External"/><Relationship Id="rId22" Type="http://schemas.openxmlformats.org/officeDocument/2006/relationships/hyperlink" Target="https://link.springer.com/article/10.1186/1479-7364-5-3-170" TargetMode="External"/><Relationship Id="rId27" Type="http://schemas.openxmlformats.org/officeDocument/2006/relationships/hyperlink" Target="https://pubmed.ncbi.nlm.nih.gov/16424607/" TargetMode="External"/><Relationship Id="rId30" Type="http://schemas.openxmlformats.org/officeDocument/2006/relationships/hyperlink" Target="https://pmc.ncbi.nlm.nih.gov/articles/PMC4485637/" TargetMode="External"/><Relationship Id="rId35" Type="http://schemas.openxmlformats.org/officeDocument/2006/relationships/hyperlink" Target="https://pubmed.ncbi.nlm.nih.gov/25847235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researchgate.net/publication/11632225_A_new_concept_of_cellular_uptake_and_intracellular_trafficking_of_long-chain_fatty_acid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ciencedirect.com/science/article/pii/S0009898124022824" TargetMode="External"/><Relationship Id="rId17" Type="http://schemas.openxmlformats.org/officeDocument/2006/relationships/hyperlink" Target="https://www.jbc.org/article/S0021-9258(24)01897-0/fulltext" TargetMode="External"/><Relationship Id="rId25" Type="http://schemas.openxmlformats.org/officeDocument/2006/relationships/hyperlink" Target="https://pmc.ncbi.nlm.nih.gov/articles/PMC4323920/" TargetMode="External"/><Relationship Id="rId33" Type="http://schemas.openxmlformats.org/officeDocument/2006/relationships/hyperlink" Target="https://pmc.ncbi.nlm.nih.gov/articles/PMC139777/" TargetMode="External"/><Relationship Id="rId38" Type="http://schemas.openxmlformats.org/officeDocument/2006/relationships/hyperlink" Target="https://www.researchgate.net/publication/10666148_A_current_review_of_fatty_acid_transport_proteins_SLC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Dooman Na</dc:creator>
  <cp:keywords/>
  <dc:description/>
  <cp:lastModifiedBy>Dooman Na</cp:lastModifiedBy>
  <cp:revision>4</cp:revision>
  <cp:lastPrinted>2026-06-30T10:52:00Z</cp:lastPrinted>
  <dcterms:created xsi:type="dcterms:W3CDTF">2026-06-28T12:01:00Z</dcterms:created>
  <dcterms:modified xsi:type="dcterms:W3CDTF">2026-06-30T10:55:00Z</dcterms:modified>
</cp:coreProperties>
</file>