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Playfair Display" w:cs="Playfair Display" w:eastAsia="Playfair Display" w:hAnsi="Playfair Display"/>
          <w:b/>
          <w:bCs/>
          <w:color w:val="1A1A2E"/>
          <w:sz w:val="72"/>
          <w:szCs w:val="72"/>
        </w:rPr>
        <w:t xml:space="preserve">PAYX</w:t>
      </w:r>
    </w:p>
    <w:p>
      <w:pPr>
        <w:pBdr>
          <w:bottom w:val="single" w:color="2563EB" w:sz="3" w:space="12"/>
        </w:pBdr>
        <w:spacing w:after="100"/>
        <w:jc w:val="center"/>
      </w:pPr>
      <w:r>
        <w:rPr>
          <w:rFonts w:ascii="Inter" w:cs="Inter" w:eastAsia="Inter" w:hAnsi="Inter"/>
          <w:color w:val="2563EB"/>
          <w:spacing w:val="200"/>
          <w:sz w:val="24"/>
          <w:szCs w:val="24"/>
        </w:rPr>
        <w:t xml:space="preserve">CONSULTING &amp; SOLUTIONS MONÉTIQUES</w:t>
      </w:r>
    </w:p>
    <w:p>
      <w:pPr>
        <w:spacing w:after="600"/>
      </w:pPr>
    </w:p>
    <w:p>
      <w:pPr>
        <w:spacing w:after="100"/>
        <w:jc w:val="center"/>
      </w:pPr>
      <w:r>
        <w:rPr>
          <w:rFonts w:ascii="Inter" w:cs="Inter" w:eastAsia="Inter" w:hAnsi="Inter"/>
          <w:b/>
          <w:bCs/>
          <w:color w:val="1A1A2E"/>
          <w:sz w:val="28"/>
          <w:szCs w:val="28"/>
        </w:rPr>
        <w:t xml:space="preserve">CATALOGUE D’OFFRES DE SERVICES</w:t>
      </w:r>
    </w:p>
    <w:p>
      <w:pPr>
        <w:spacing w:after="80"/>
        <w:jc w:val="center"/>
      </w:pPr>
      <w:r>
        <w:rPr>
          <w:rFonts w:ascii="Inter" w:cs="Inter" w:eastAsia="Inter" w:hAnsi="Inter"/>
          <w:color w:val="6B7280"/>
          <w:sz w:val="22"/>
          <w:szCs w:val="22"/>
        </w:rPr>
        <w:t xml:space="preserve">Édition lancement — 3 offres opérationnelles</w:t>
      </w:r>
    </w:p>
    <w:p>
      <w:pPr>
        <w:spacing w:after="200"/>
      </w:pPr>
    </w:p>
    <w:p>
      <w:pPr>
        <w:spacing w:after="80"/>
        <w:jc w:val="center"/>
      </w:pPr>
      <w:r>
        <w:rPr>
          <w:rFonts w:ascii="Inter" w:cs="Inter" w:eastAsia="Inter" w:hAnsi="Inter"/>
          <w:color w:val="6B7280"/>
          <w:sz w:val="20"/>
          <w:szCs w:val="20"/>
        </w:rPr>
        <w:t xml:space="preserve">Version 1.0 — Avril 2026</w:t>
      </w:r>
    </w:p>
    <w:p>
      <w:pPr>
        <w:jc w:val="center"/>
      </w:pPr>
      <w:r>
        <w:rPr>
          <w:rFonts w:ascii="Inter" w:cs="Inter" w:eastAsia="Inter" w:hAnsi="Inter"/>
          <w:i/>
          <w:iCs/>
          <w:color w:val="6B7280"/>
          <w:sz w:val="20"/>
          <w:szCs w:val="20"/>
        </w:rPr>
        <w:t xml:space="preserve">Document confidentiel</w:t>
      </w:r>
    </w:p>
    <w:p>
      <w:pPr>
        <w:spacing w:after="2000"/>
      </w:pPr>
    </w:p>
    <w:p>
      <w:pPr>
        <w:pBdr>
          <w:top w:val="single" w:color="D1D5DB" w:sz="1" w:space="12"/>
        </w:pBdr>
        <w:spacing w:before="200"/>
        <w:jc w:val="center"/>
      </w:pPr>
      <w:r>
        <w:rPr>
          <w:rFonts w:ascii="Inter" w:cs="Inter" w:eastAsia="Inter" w:hAnsi="Inter"/>
          <w:color w:val="6B7280"/>
          <w:sz w:val="20"/>
          <w:szCs w:val="20"/>
        </w:rPr>
        <w:t xml:space="preserve">Abidjan, Côte d’Ivoire</w:t>
      </w:r>
    </w:p>
    <w:p>
      <w:pPr>
        <w:sectPr>
          <w:pgSz w:w="11906" w:h="16838" w:orient="portrait"/>
          <w:pgMar w:top="1440" w:right="1440" w:bottom="1440" w:left="1440" w:header="708" w:footer="708" w:gutter="0"/>
          <w:pgNumType/>
          <w:docGrid w:linePitch="360"/>
        </w:sectPr>
      </w:pPr>
    </w:p>
    <w:p>
      <w:pPr>
        <w:pStyle w:val="Heading1"/>
        <w:pBdr>
          <w:bottom w:val="single" w:color="2563EB" w:sz="2" w:space="8"/>
        </w:pBdr>
        <w:spacing w:after="200" w:before="400"/>
      </w:pPr>
      <w:r>
        <w:rPr>
          <w:rFonts w:ascii="Inter" w:cs="Inter" w:eastAsia="Inter" w:hAnsi="Inter"/>
          <w:b/>
          <w:bCs/>
          <w:color w:val="1A1A2E"/>
          <w:sz w:val="28"/>
          <w:szCs w:val="28"/>
        </w:rPr>
        <w:t xml:space="preserve">PRÉAMBULE — LIRE AVANT TOUT</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6"/>
              <w:bottom w:val="none" w:sz="0"/>
              <w:right w:val="none" w:sz="0"/>
            </w:tcBorders>
            <w:shd w:fill="FEF2F2" w:val="clear"/>
            <w:tcMar>
              <w:top w:type="dxa" w:w="120"/>
              <w:left w:type="dxa" w:w="200"/>
              <w:bottom w:type="dxa" w:w="120"/>
              <w:right w:type="dxa" w:w="200"/>
            </w:tcMar>
          </w:tcPr>
          <w:p>
            <w:pPr>
              <w:spacing w:after="0"/>
            </w:pPr>
            <w:r>
              <w:rPr>
                <w:rFonts w:ascii="Inter" w:cs="Inter" w:eastAsia="Inter" w:hAnsi="Inter"/>
                <w:i/>
                <w:iCs/>
                <w:color w:val="DC2626"/>
                <w:sz w:val="21"/>
                <w:szCs w:val="21"/>
              </w:rPr>
              <w:t xml:space="preserve">Ce catalogue est volontairement resserré. PAYX ne propose pas 25 services pour paraître impressionnant. Nous proposons 3 offres que nous maîtrisons et que nous pouvons livrer avec excellence. La profondeur bat toujours la largeur.</w:t>
            </w:r>
          </w:p>
        </w:tc>
      </w:tr>
    </w:tbl>
    <w:p>
      <w:pPr>
        <w:spacing w:after="150"/>
      </w:pPr>
    </w:p>
    <w:p>
      <w:pPr>
        <w:spacing w:after="150" w:line="276"/>
        <w:jc w:val="both"/>
      </w:pPr>
      <w:r>
        <w:rPr>
          <w:rFonts w:ascii="Inter" w:cs="Inter" w:eastAsia="Inter" w:hAnsi="Inter"/>
          <w:i w:val="false"/>
          <w:iCs w:val="false"/>
          <w:color w:val="333333"/>
          <w:sz w:val="21"/>
          <w:szCs w:val="21"/>
        </w:rPr>
        <w:t xml:space="preserve">PAYX est une structure de consulting spécialisée dans les paiements électroniques et la monétique, ciblant les fintechs, startups de paiement et entreprises intégrant le paiement digital en Afrique francophone.</w:t>
      </w:r>
    </w:p>
    <w:p>
      <w:pPr>
        <w:spacing w:after="50"/>
      </w:pPr>
    </w:p>
    <w:p>
      <w:pPr>
        <w:spacing w:after="150" w:line="276"/>
        <w:jc w:val="both"/>
      </w:pPr>
      <w:r>
        <w:rPr>
          <w:rFonts w:ascii="Inter" w:cs="Inter" w:eastAsia="Inter" w:hAnsi="Inter"/>
          <w:i w:val="false"/>
          <w:iCs w:val="false"/>
          <w:color w:val="333333"/>
          <w:sz w:val="21"/>
          <w:szCs w:val="21"/>
        </w:rPr>
        <w:t xml:space="preserve">Notre approche repose sur un principe simple : chaque mission produit des livrables concrets et utilisables, pas des recommandations théoriques. Le client repart avec des documents, des outils et des processus qu’il peut implémenter immédiatement.</w:t>
      </w:r>
    </w:p>
    <w:p>
      <w:pPr>
        <w:spacing w:after="50"/>
      </w:pPr>
    </w:p>
    <w:p>
      <w:pPr>
        <w:spacing w:after="150" w:line="276"/>
        <w:jc w:val="both"/>
      </w:pPr>
      <w:r>
        <w:rPr>
          <w:rFonts w:ascii="Inter" w:cs="Inter" w:eastAsia="Inter" w:hAnsi="Inter"/>
          <w:i w:val="false"/>
          <w:iCs w:val="false"/>
          <w:color w:val="333333"/>
          <w:sz w:val="21"/>
          <w:szCs w:val="21"/>
        </w:rPr>
        <w:t xml:space="preserve">Les trois offres ci-dessous sont calibrées pour des structures de 2 à 50 personnes, avec des budgets réalistes pour le marché ouest-africain. Des offres supplémentaires (formation, audit de conformité, stratégie de programme carte) seront ajoutées au fur et à mesure que notre portefeuille de missions s’étoffera.</w:t>
      </w:r>
    </w:p>
    <w:p>
      <w:pPr>
        <w:spacing w:after="300"/>
      </w:pPr>
    </w:p>
    <w:p>
      <w:pPr>
        <w:pStyle w:val="Heading1"/>
        <w:pBdr>
          <w:bottom w:val="single" w:color="2563EB" w:sz="2" w:space="8"/>
        </w:pBdr>
        <w:spacing w:after="200" w:before="400"/>
      </w:pPr>
      <w:r>
        <w:rPr>
          <w:rFonts w:ascii="Inter" w:cs="Inter" w:eastAsia="Inter" w:hAnsi="Inter"/>
          <w:b/>
          <w:bCs/>
          <w:color w:val="1A1A2E"/>
          <w:sz w:val="28"/>
          <w:szCs w:val="28"/>
        </w:rPr>
        <w:t xml:space="preserve">OFFRE 1 — DIAGNOSTIC OPÉRATIONNEL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none" w:sz="0"/>
              <w:right w:val="single" w:color="D1D5DB" w:sz="1"/>
            </w:tcBorders>
            <w:shd w:fill="2563EB" w:val="clear"/>
            <w:tcMar>
              <w:top w:type="dxa" w:w="120"/>
              <w:left w:type="dxa" w:w="200"/>
              <w:bottom w:type="dxa" w:w="120"/>
              <w:right w:type="dxa" w:w="200"/>
            </w:tcMar>
          </w:tcPr>
          <w:p>
            <w:pPr>
              <w:spacing w:after="40"/>
            </w:pPr>
            <w:r>
              <w:rPr>
                <w:rFonts w:ascii="Inter" w:cs="Inter" w:eastAsia="Inter" w:hAnsi="Inter"/>
                <w:b/>
                <w:bCs/>
                <w:color w:val="FFFFFF"/>
                <w:sz w:val="26"/>
                <w:szCs w:val="26"/>
              </w:rPr>
              <w:t xml:space="preserve">DIAGNOSTIC OPÉRATIONNEL MONÉTIQUE</w:t>
            </w:r>
          </w:p>
          <w:p>
            <w:pPr>
              <w:spacing w:after="0"/>
            </w:pPr>
            <w:r>
              <w:rPr>
                <w:rFonts w:ascii="Inter" w:cs="Inter" w:eastAsia="Inter" w:hAnsi="Inter"/>
                <w:i/>
                <w:iCs/>
                <w:color w:val="D1E0FF"/>
                <w:sz w:val="20"/>
                <w:szCs w:val="20"/>
              </w:rPr>
              <w:t xml:space="preserve">Identifier ce qui casse, ce qui fuit, et ce qui ralentit dans vos flux de paiement et vos processus de réclamation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TARIF</w:t>
            </w:r>
          </w:p>
          <w:p>
            <w:pPr>
              <w:spacing w:after="0"/>
            </w:pPr>
            <w:r>
              <w:rPr>
                <w:rFonts w:ascii="Inter" w:cs="Inter" w:eastAsia="Inter" w:hAnsi="Inter"/>
                <w:b/>
                <w:bCs/>
                <w:color w:val="1A1A2E"/>
                <w:sz w:val="22"/>
                <w:szCs w:val="22"/>
              </w:rPr>
              <w:t xml:space="preserve">250 000 — 400 000 FCFA</w:t>
            </w:r>
          </w:p>
        </w:tc>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DURÉE</w:t>
            </w:r>
          </w:p>
          <w:p>
            <w:pPr>
              <w:spacing w:after="0"/>
            </w:pPr>
            <w:r>
              <w:rPr>
                <w:rFonts w:ascii="Inter" w:cs="Inter" w:eastAsia="Inter" w:hAnsi="Inter"/>
                <w:b/>
                <w:bCs/>
                <w:color w:val="1A1A2E"/>
                <w:sz w:val="22"/>
                <w:szCs w:val="22"/>
              </w:rPr>
              <w:t xml:space="preserve">5 à 10 jours ouvrés</w:t>
            </w:r>
          </w:p>
        </w:tc>
      </w:tr>
    </w:tbl>
    <w:p>
      <w:pPr>
        <w:spacing w:after="100"/>
      </w:pPr>
    </w:p>
    <w:p>
      <w:pPr>
        <w:spacing w:after="150" w:line="276"/>
        <w:jc w:val="both"/>
      </w:pPr>
      <w:r>
        <w:rPr>
          <w:rFonts w:ascii="Inter" w:cs="Inter" w:eastAsia="Inter" w:hAnsi="Inter"/>
          <w:b/>
          <w:bCs/>
          <w:color w:val="1A1A2E"/>
          <w:sz w:val="21"/>
          <w:szCs w:val="21"/>
        </w:rPr>
        <w:t xml:space="preserve">Contexte : </w:t>
      </w:r>
      <w:r>
        <w:rPr>
          <w:rFonts w:ascii="Inter" w:cs="Inter" w:eastAsia="Inter" w:hAnsi="Inter"/>
          <w:color w:val="333333"/>
          <w:sz w:val="21"/>
          <w:szCs w:val="21"/>
        </w:rPr>
        <w:t xml:space="preserve">Votre plateforme de paiement fonctionne mais vous constatez des anomalies : taux d’échec élevé, écarts de réconciliation récurrents, réclamations clients en hausse ou mal gérées, ou simplement un manque de visibilité sur la performance de vos flux transactionnels. Vos équipes passent du temps à éteindre des incendies au lieu de suivre un processus structuré. Vous avez besoin d’un regard extérieur pour poser un diagnostic clair et priorisé.</w:t>
      </w:r>
    </w:p>
    <w:p>
      <w:pPr>
        <w:spacing w:after="100"/>
      </w:pPr>
      <w:r>
        <w:rPr>
          <w:rFonts w:ascii="Inter" w:cs="Inter" w:eastAsia="Inter" w:hAnsi="Inter"/>
          <w:b/>
          <w:bCs/>
          <w:color w:val="1A1A2E"/>
          <w:sz w:val="21"/>
          <w:szCs w:val="21"/>
        </w:rPr>
        <w:t xml:space="preserve">Livrables concrets :</w:t>
      </w:r>
    </w:p>
    <w:p>
      <w:pPr>
        <w:pStyle w:val="ListParagraph"/>
        <w:numPr>
          <w:ilvl w:val="0"/>
          <w:numId w:val="2"/>
        </w:numPr>
        <w:spacing w:after="100" w:line="276"/>
      </w:pPr>
      <w:r>
        <w:rPr>
          <w:rFonts w:ascii="Inter" w:cs="Inter" w:eastAsia="Inter" w:hAnsi="Inter"/>
          <w:color w:val="333333"/>
          <w:sz w:val="21"/>
          <w:szCs w:val="21"/>
        </w:rPr>
        <w:t xml:space="preserve">Rapport de diagnostic (15–25 pages) : cartographie des flux transactionnels, identification des points de défaillance, analyse des taux d’échec par canal/partenaire, état de la réconciliation</w:t>
      </w:r>
    </w:p>
    <w:p>
      <w:pPr>
        <w:pStyle w:val="ListParagraph"/>
        <w:numPr>
          <w:ilvl w:val="0"/>
          <w:numId w:val="2"/>
        </w:numPr>
        <w:spacing w:after="100" w:line="276"/>
      </w:pPr>
      <w:r>
        <w:rPr>
          <w:rFonts w:ascii="Inter" w:cs="Inter" w:eastAsia="Inter" w:hAnsi="Inter"/>
          <w:color w:val="333333"/>
          <w:sz w:val="21"/>
          <w:szCs w:val="21"/>
        </w:rPr>
        <w:t xml:space="preserve">Diagnostic du processus de réclamation : analyse du circuit actuel de traitement (délais, taux de résolution, causes racines récurrentes, qualité des réponses clients)</w:t>
      </w:r>
    </w:p>
    <w:p>
      <w:pPr>
        <w:pStyle w:val="ListParagraph"/>
        <w:numPr>
          <w:ilvl w:val="0"/>
          <w:numId w:val="2"/>
        </w:numPr>
        <w:spacing w:after="100" w:line="276"/>
      </w:pPr>
      <w:r>
        <w:rPr>
          <w:rFonts w:ascii="Inter" w:cs="Inter" w:eastAsia="Inter" w:hAnsi="Inter"/>
          <w:color w:val="333333"/>
          <w:sz w:val="21"/>
          <w:szCs w:val="21"/>
        </w:rPr>
        <w:t xml:space="preserve">Matrice de priorisation des problèmes (impact × effort de résolution) couvrant les volets transactionnel et réclamation</w:t>
      </w:r>
    </w:p>
    <w:p>
      <w:pPr>
        <w:pStyle w:val="ListParagraph"/>
        <w:numPr>
          <w:ilvl w:val="0"/>
          <w:numId w:val="2"/>
        </w:numPr>
        <w:spacing w:after="100" w:line="276"/>
      </w:pPr>
      <w:r>
        <w:rPr>
          <w:rFonts w:ascii="Inter" w:cs="Inter" w:eastAsia="Inter" w:hAnsi="Inter"/>
          <w:color w:val="333333"/>
          <w:sz w:val="21"/>
          <w:szCs w:val="21"/>
        </w:rPr>
        <w:t xml:space="preserve">Plan d’action opérationnel avec recommandations concrètes et chiffrées</w:t>
      </w:r>
    </w:p>
    <w:p>
      <w:pPr>
        <w:pStyle w:val="ListParagraph"/>
        <w:numPr>
          <w:ilvl w:val="0"/>
          <w:numId w:val="2"/>
        </w:numPr>
        <w:spacing w:after="100" w:line="276"/>
      </w:pPr>
      <w:r>
        <w:rPr>
          <w:rFonts w:ascii="Inter" w:cs="Inter" w:eastAsia="Inter" w:hAnsi="Inter"/>
          <w:color w:val="333333"/>
          <w:sz w:val="21"/>
          <w:szCs w:val="21"/>
        </w:rPr>
        <w:t xml:space="preserve">Template de suivi de réconciliation adapté à votre contexte (fichier Excel ou outil web)</w:t>
      </w:r>
    </w:p>
    <w:p>
      <w:pPr>
        <w:spacing w:after="50"/>
      </w:pPr>
    </w:p>
    <w:p>
      <w:pPr>
        <w:spacing w:after="150" w:line="276"/>
        <w:jc w:val="both"/>
      </w:pPr>
      <w:r>
        <w:rPr>
          <w:rFonts w:ascii="Inter" w:cs="Inter" w:eastAsia="Inter" w:hAnsi="Inter"/>
          <w:b/>
          <w:bCs/>
          <w:color w:val="1A1A2E"/>
          <w:sz w:val="21"/>
          <w:szCs w:val="21"/>
        </w:rPr>
        <w:t xml:space="preserve">Pour qui : </w:t>
      </w:r>
      <w:r>
        <w:rPr>
          <w:rFonts w:ascii="Inter" w:cs="Inter" w:eastAsia="Inter" w:hAnsi="Inter"/>
          <w:color w:val="333333"/>
          <w:sz w:val="21"/>
          <w:szCs w:val="21"/>
        </w:rPr>
        <w:t xml:space="preserve">Fintechs et startups de paiement ayant au moins 6 mois d’activité transactionnelle. Entreprises utilisant un ou plusieurs PSP/agrégateurs (CinetPay, FedaPay, Orange Money API, etc.). Structures dont le volume de réclamations croît sans processus formalisé.</w:t>
      </w:r>
    </w:p>
    <w:p>
      <w:pPr>
        <w:spacing w:after="150" w:line="276"/>
        <w:jc w:val="both"/>
      </w:pPr>
      <w:r>
        <w:rPr>
          <w:rFonts w:ascii="Inter" w:cs="Inter" w:eastAsia="Inter" w:hAnsi="Inter"/>
          <w:b/>
          <w:bCs/>
          <w:color w:val="1A1A2E"/>
          <w:sz w:val="21"/>
          <w:szCs w:val="21"/>
        </w:rPr>
        <w:t xml:space="preserve">Prérequis : </w:t>
      </w:r>
      <w:r>
        <w:rPr>
          <w:rFonts w:ascii="Inter" w:cs="Inter" w:eastAsia="Inter" w:hAnsi="Inter"/>
          <w:color w:val="333333"/>
          <w:sz w:val="21"/>
          <w:szCs w:val="21"/>
        </w:rPr>
        <w:t xml:space="preserve">Accès aux données transactionnelles (exports, logs, rapports de réconciliation existants). Accès à l’historique des réclamations (tickets, emails, registres). Un interlocuteur technique et/ou ops disponible pour 2–3 sessions de travail.</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OFFRE 2 — ANALYSE DE MODÈLE ÉCONOMIQUE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none" w:sz="0"/>
              <w:right w:val="single" w:color="D1D5DB" w:sz="1"/>
            </w:tcBorders>
            <w:shd w:fill="2563EB" w:val="clear"/>
            <w:tcMar>
              <w:top w:type="dxa" w:w="120"/>
              <w:left w:type="dxa" w:w="200"/>
              <w:bottom w:type="dxa" w:w="120"/>
              <w:right w:type="dxa" w:w="200"/>
            </w:tcMar>
          </w:tcPr>
          <w:p>
            <w:pPr>
              <w:spacing w:after="40"/>
            </w:pPr>
            <w:r>
              <w:rPr>
                <w:rFonts w:ascii="Inter" w:cs="Inter" w:eastAsia="Inter" w:hAnsi="Inter"/>
                <w:b/>
                <w:bCs/>
                <w:color w:val="FFFFFF"/>
                <w:sz w:val="26"/>
                <w:szCs w:val="26"/>
              </w:rPr>
              <w:t xml:space="preserve">ANALYSE DE MODÈLE ÉCONOMIQUE DE PAIEMENT</w:t>
            </w:r>
          </w:p>
          <w:p>
            <w:pPr>
              <w:spacing w:after="0"/>
            </w:pPr>
            <w:r>
              <w:rPr>
                <w:rFonts w:ascii="Inter" w:cs="Inter" w:eastAsia="Inter" w:hAnsi="Inter"/>
                <w:i/>
                <w:iCs/>
                <w:color w:val="D1E0FF"/>
                <w:sz w:val="20"/>
                <w:szCs w:val="20"/>
              </w:rPr>
              <w:t xml:space="preserve">Comprendre si votre écosystème de paiement gagne ou perd de l’argent — et pourquoi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TARIF</w:t>
            </w:r>
          </w:p>
          <w:p>
            <w:pPr>
              <w:spacing w:after="0"/>
            </w:pPr>
            <w:r>
              <w:rPr>
                <w:rFonts w:ascii="Inter" w:cs="Inter" w:eastAsia="Inter" w:hAnsi="Inter"/>
                <w:b/>
                <w:bCs/>
                <w:color w:val="1A1A2E"/>
                <w:sz w:val="22"/>
                <w:szCs w:val="22"/>
              </w:rPr>
              <w:t xml:space="preserve">300 000 — 500 000 FCFA</w:t>
            </w:r>
          </w:p>
        </w:tc>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DURÉE</w:t>
            </w:r>
          </w:p>
          <w:p>
            <w:pPr>
              <w:spacing w:after="0"/>
            </w:pPr>
            <w:r>
              <w:rPr>
                <w:rFonts w:ascii="Inter" w:cs="Inter" w:eastAsia="Inter" w:hAnsi="Inter"/>
                <w:b/>
                <w:bCs/>
                <w:color w:val="1A1A2E"/>
                <w:sz w:val="22"/>
                <w:szCs w:val="22"/>
              </w:rPr>
              <w:t xml:space="preserve">7 à 15 jours ouvrés</w:t>
            </w:r>
          </w:p>
        </w:tc>
      </w:tr>
    </w:tbl>
    <w:p>
      <w:pPr>
        <w:spacing w:after="100"/>
      </w:pPr>
    </w:p>
    <w:p>
      <w:pPr>
        <w:spacing w:after="150" w:line="276"/>
        <w:jc w:val="both"/>
      </w:pPr>
      <w:r>
        <w:rPr>
          <w:rFonts w:ascii="Inter" w:cs="Inter" w:eastAsia="Inter" w:hAnsi="Inter"/>
          <w:b/>
          <w:bCs/>
          <w:color w:val="1A1A2E"/>
          <w:sz w:val="21"/>
          <w:szCs w:val="21"/>
        </w:rPr>
        <w:t xml:space="preserve">Contexte : </w:t>
      </w:r>
      <w:r>
        <w:rPr>
          <w:rFonts w:ascii="Inter" w:cs="Inter" w:eastAsia="Inter" w:hAnsi="Inter"/>
          <w:color w:val="333333"/>
          <w:sz w:val="21"/>
          <w:szCs w:val="21"/>
        </w:rPr>
        <w:t xml:space="preserve">Vous lancez ou opérez un service de paiement (agrégation, transfert, Mobile Money, programme carte) et vous devez comprendre la viabilité économique de votre modèle. Quelles sont vos vraies marges ? Où perdez-vous de l’argent ? Votre pricing est-il compétitif ? Quels volumes vous faut-il pour atteindre l’équilibre ?</w:t>
      </w:r>
    </w:p>
    <w:p>
      <w:pPr>
        <w:spacing w:after="100"/>
      </w:pPr>
      <w:r>
        <w:rPr>
          <w:rFonts w:ascii="Inter" w:cs="Inter" w:eastAsia="Inter" w:hAnsi="Inter"/>
          <w:b/>
          <w:bCs/>
          <w:color w:val="1A1A2E"/>
          <w:sz w:val="21"/>
          <w:szCs w:val="21"/>
        </w:rPr>
        <w:t xml:space="preserve">Livrables concrets :</w:t>
      </w:r>
    </w:p>
    <w:p>
      <w:pPr>
        <w:pStyle w:val="ListParagraph"/>
        <w:numPr>
          <w:ilvl w:val="0"/>
          <w:numId w:val="2"/>
        </w:numPr>
        <w:spacing w:after="100" w:line="276"/>
      </w:pPr>
      <w:r>
        <w:rPr>
          <w:rFonts w:ascii="Inter" w:cs="Inter" w:eastAsia="Inter" w:hAnsi="Inter"/>
          <w:color w:val="333333"/>
          <w:sz w:val="21"/>
          <w:szCs w:val="21"/>
        </w:rPr>
        <w:t xml:space="preserve">Cartographie complète des flux financiers (commissions, interchange, frais réseau, coûts techniques)</w:t>
      </w:r>
    </w:p>
    <w:p>
      <w:pPr>
        <w:pStyle w:val="ListParagraph"/>
        <w:numPr>
          <w:ilvl w:val="0"/>
          <w:numId w:val="2"/>
        </w:numPr>
        <w:spacing w:after="100" w:line="276"/>
      </w:pPr>
      <w:r>
        <w:rPr>
          <w:rFonts w:ascii="Inter" w:cs="Inter" w:eastAsia="Inter" w:hAnsi="Inter"/>
          <w:color w:val="333333"/>
          <w:sz w:val="21"/>
          <w:szCs w:val="21"/>
        </w:rPr>
        <w:t xml:space="preserve">Modèle de rentabilité paramétrable (fichier Excel avec scénarios ajustables)</w:t>
      </w:r>
    </w:p>
    <w:p>
      <w:pPr>
        <w:pStyle w:val="ListParagraph"/>
        <w:numPr>
          <w:ilvl w:val="0"/>
          <w:numId w:val="2"/>
        </w:numPr>
        <w:spacing w:after="100" w:line="276"/>
      </w:pPr>
      <w:r>
        <w:rPr>
          <w:rFonts w:ascii="Inter" w:cs="Inter" w:eastAsia="Inter" w:hAnsi="Inter"/>
          <w:color w:val="333333"/>
          <w:sz w:val="21"/>
          <w:szCs w:val="21"/>
        </w:rPr>
        <w:t xml:space="preserve">Benchmark tarifaire vs 3–5 concurrents directs sur le marché cible</w:t>
      </w:r>
    </w:p>
    <w:p>
      <w:pPr>
        <w:pStyle w:val="ListParagraph"/>
        <w:numPr>
          <w:ilvl w:val="0"/>
          <w:numId w:val="2"/>
        </w:numPr>
        <w:spacing w:after="100" w:line="276"/>
      </w:pPr>
      <w:r>
        <w:rPr>
          <w:rFonts w:ascii="Inter" w:cs="Inter" w:eastAsia="Inter" w:hAnsi="Inter"/>
          <w:color w:val="333333"/>
          <w:sz w:val="21"/>
          <w:szCs w:val="21"/>
        </w:rPr>
        <w:t xml:space="preserve">Note de recommandation stratégique (10–15 pages) : optimisations tarifaires, leviers de marge, scénarios de croissance</w:t>
      </w:r>
    </w:p>
    <w:p>
      <w:pPr>
        <w:pStyle w:val="ListParagraph"/>
        <w:numPr>
          <w:ilvl w:val="0"/>
          <w:numId w:val="2"/>
        </w:numPr>
        <w:spacing w:after="100" w:line="276"/>
      </w:pPr>
      <w:r>
        <w:rPr>
          <w:rFonts w:ascii="Inter" w:cs="Inter" w:eastAsia="Inter" w:hAnsi="Inter"/>
          <w:color w:val="333333"/>
          <w:sz w:val="21"/>
          <w:szCs w:val="21"/>
        </w:rPr>
        <w:t xml:space="preserve">Évaluation d’offres de partenariat (si applicable) : analyse des conditions proposées par processeurs ou réseaux</w:t>
      </w:r>
    </w:p>
    <w:p>
      <w:pPr>
        <w:spacing w:after="50"/>
      </w:pPr>
    </w:p>
    <w:p>
      <w:pPr>
        <w:spacing w:after="150" w:line="276"/>
        <w:jc w:val="both"/>
      </w:pPr>
      <w:r>
        <w:rPr>
          <w:rFonts w:ascii="Inter" w:cs="Inter" w:eastAsia="Inter" w:hAnsi="Inter"/>
          <w:b/>
          <w:bCs/>
          <w:color w:val="1A1A2E"/>
          <w:sz w:val="21"/>
          <w:szCs w:val="21"/>
        </w:rPr>
        <w:t xml:space="preserve">Pour qui : </w:t>
      </w:r>
      <w:r>
        <w:rPr>
          <w:rFonts w:ascii="Inter" w:cs="Inter" w:eastAsia="Inter" w:hAnsi="Inter"/>
          <w:color w:val="333333"/>
          <w:sz w:val="21"/>
          <w:szCs w:val="21"/>
        </w:rPr>
        <w:t xml:space="preserve">Fintechs en phase de lancement ou d’optimisation. Entreprises évaluant un partenariat avec un processeur, un émetteur ou un réseau de paiement.</w:t>
      </w:r>
    </w:p>
    <w:p>
      <w:pPr>
        <w:spacing w:after="150" w:line="276"/>
        <w:jc w:val="both"/>
      </w:pPr>
      <w:r>
        <w:rPr>
          <w:rFonts w:ascii="Inter" w:cs="Inter" w:eastAsia="Inter" w:hAnsi="Inter"/>
          <w:b/>
          <w:bCs/>
          <w:color w:val="1A1A2E"/>
          <w:sz w:val="21"/>
          <w:szCs w:val="21"/>
        </w:rPr>
        <w:t xml:space="preserve">Prérequis : </w:t>
      </w:r>
      <w:r>
        <w:rPr>
          <w:rFonts w:ascii="Inter" w:cs="Inter" w:eastAsia="Inter" w:hAnsi="Inter"/>
          <w:color w:val="333333"/>
          <w:sz w:val="21"/>
          <w:szCs w:val="21"/>
        </w:rPr>
        <w:t xml:space="preserve">Business plan ou projection financière existante (même sommaire). Grille tarifaire actuelle ou envisagée. Conditions des partenaires à évaluer (le cas échéant).</w:t>
      </w:r>
    </w:p>
    <w:p>
      <w:pPr>
        <w:spacing w:after="200"/>
      </w:pPr>
    </w:p>
    <w:p>
      <w:r>
        <w:br w:type="page"/>
      </w:r>
    </w:p>
    <w:p>
      <w:pPr>
        <w:pStyle w:val="Heading1"/>
        <w:pBdr>
          <w:bottom w:val="single" w:color="2563EB" w:sz="2" w:space="8"/>
        </w:pBdr>
        <w:spacing w:after="200" w:before="400"/>
      </w:pPr>
      <w:r>
        <w:rPr>
          <w:rFonts w:ascii="Inter" w:cs="Inter" w:eastAsia="Inter" w:hAnsi="Inter"/>
          <w:b/>
          <w:bCs/>
          <w:color w:val="1A1A2E"/>
          <w:sz w:val="28"/>
          <w:szCs w:val="28"/>
        </w:rPr>
        <w:t xml:space="preserve">OFFRE 3 — STRUCTURATION OPÉRATIONNELLE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none" w:sz="0"/>
              <w:right w:val="single" w:color="D1D5DB" w:sz="1"/>
            </w:tcBorders>
            <w:shd w:fill="2563EB" w:val="clear"/>
            <w:tcMar>
              <w:top w:type="dxa" w:w="120"/>
              <w:left w:type="dxa" w:w="200"/>
              <w:bottom w:type="dxa" w:w="120"/>
              <w:right w:type="dxa" w:w="200"/>
            </w:tcMar>
          </w:tcPr>
          <w:p>
            <w:pPr>
              <w:spacing w:after="40"/>
            </w:pPr>
            <w:r>
              <w:rPr>
                <w:rFonts w:ascii="Inter" w:cs="Inter" w:eastAsia="Inter" w:hAnsi="Inter"/>
                <w:b/>
                <w:bCs/>
                <w:color w:val="FFFFFF"/>
                <w:sz w:val="26"/>
                <w:szCs w:val="26"/>
              </w:rPr>
              <w:t xml:space="preserve">RÉCONCILIATION, RÉCLAMATIONS &amp; FORMATION</w:t>
            </w:r>
          </w:p>
          <w:p>
            <w:pPr>
              <w:spacing w:after="0"/>
            </w:pPr>
            <w:r>
              <w:rPr>
                <w:rFonts w:ascii="Inter" w:cs="Inter" w:eastAsia="Inter" w:hAnsi="Inter"/>
                <w:i/>
                <w:iCs/>
                <w:color w:val="D1E0FF"/>
                <w:sz w:val="20"/>
                <w:szCs w:val="20"/>
              </w:rPr>
              <w:t xml:space="preserve">Structurer les deux processus qui font la différence entre une fintech qui survit et une qui scale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TARIF</w:t>
            </w:r>
          </w:p>
          <w:p>
            <w:pPr>
              <w:spacing w:after="0"/>
            </w:pPr>
            <w:r>
              <w:rPr>
                <w:rFonts w:ascii="Inter" w:cs="Inter" w:eastAsia="Inter" w:hAnsi="Inter"/>
                <w:b/>
                <w:bCs/>
                <w:color w:val="1A1A2E"/>
                <w:sz w:val="22"/>
                <w:szCs w:val="22"/>
              </w:rPr>
              <w:t xml:space="preserve">400 000 — 750 000 FCFA</w:t>
            </w:r>
          </w:p>
        </w:tc>
        <w:tc>
          <w:tcPr>
            <w:tcW w:type="dxa" w:w="45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6B7280"/>
                <w:sz w:val="16"/>
                <w:szCs w:val="16"/>
              </w:rPr>
              <w:t xml:space="preserve">DURÉE</w:t>
            </w:r>
          </w:p>
          <w:p>
            <w:pPr>
              <w:spacing w:after="0"/>
            </w:pPr>
            <w:r>
              <w:rPr>
                <w:rFonts w:ascii="Inter" w:cs="Inter" w:eastAsia="Inter" w:hAnsi="Inter"/>
                <w:b/>
                <w:bCs/>
                <w:color w:val="1A1A2E"/>
                <w:sz w:val="22"/>
                <w:szCs w:val="22"/>
              </w:rPr>
              <w:t xml:space="preserve">15 à 25 jours ouvrés</w:t>
            </w:r>
          </w:p>
        </w:tc>
      </w:tr>
    </w:tbl>
    <w:p>
      <w:pPr>
        <w:spacing w:after="100"/>
      </w:pPr>
    </w:p>
    <w:p>
      <w:pPr>
        <w:spacing w:after="150" w:line="276"/>
        <w:jc w:val="both"/>
      </w:pPr>
      <w:r>
        <w:rPr>
          <w:rFonts w:ascii="Inter" w:cs="Inter" w:eastAsia="Inter" w:hAnsi="Inter"/>
          <w:b/>
          <w:bCs/>
          <w:color w:val="1A1A2E"/>
          <w:sz w:val="21"/>
          <w:szCs w:val="21"/>
        </w:rPr>
        <w:t xml:space="preserve">Contexte : </w:t>
      </w:r>
      <w:r>
        <w:rPr>
          <w:rFonts w:ascii="Inter" w:cs="Inter" w:eastAsia="Inter" w:hAnsi="Inter"/>
          <w:color w:val="333333"/>
          <w:sz w:val="21"/>
          <w:szCs w:val="21"/>
        </w:rPr>
        <w:t xml:space="preserve">Vous n’avez pas de processus de réconciliation structuré, ou celui que vous avez est manuel, incomplet, et source d’erreurs. En parallèle, vos réclamations clients sont gérées au cas par cas, sans catégorisation, sans SLA, sans traçabilité. Vos équipes font de leur mieux mais personne ne leur a formellement enseigné comment traiter une réclamation de paiement ou mener une réconciliation. Vous avez besoin de processus fiables, documentés et reproductibles — et d’équipes formées pour les exécuter.</w:t>
      </w:r>
    </w:p>
    <w:p>
      <w:pPr>
        <w:spacing w:after="100"/>
      </w:pPr>
      <w:r>
        <w:rPr>
          <w:rFonts w:ascii="Inter" w:cs="Inter" w:eastAsia="Inter" w:hAnsi="Inter"/>
          <w:b/>
          <w:bCs/>
          <w:color w:val="1A1A2E"/>
          <w:sz w:val="21"/>
          <w:szCs w:val="21"/>
        </w:rPr>
        <w:t xml:space="preserve">Livrables concrets :</w:t>
      </w:r>
    </w:p>
    <w:p>
      <w:pPr>
        <w:pStyle w:val="ListParagraph"/>
        <w:numPr>
          <w:ilvl w:val="0"/>
          <w:numId w:val="2"/>
        </w:numPr>
        <w:spacing w:after="100" w:line="276"/>
      </w:pPr>
      <w:r>
        <w:rPr>
          <w:rFonts w:ascii="Inter" w:cs="Inter" w:eastAsia="Inter" w:hAnsi="Inter"/>
          <w:color w:val="333333"/>
          <w:sz w:val="21"/>
          <w:szCs w:val="21"/>
        </w:rPr>
        <w:t xml:space="preserve">Cartographie des flux de réconciliation (qui doit quoi à qui, par quel canal, à quelle fréquence)</w:t>
      </w:r>
    </w:p>
    <w:p>
      <w:pPr>
        <w:pStyle w:val="ListParagraph"/>
        <w:numPr>
          <w:ilvl w:val="0"/>
          <w:numId w:val="2"/>
        </w:numPr>
        <w:spacing w:after="100" w:line="276"/>
      </w:pPr>
      <w:r>
        <w:rPr>
          <w:rFonts w:ascii="Inter" w:cs="Inter" w:eastAsia="Inter" w:hAnsi="Inter"/>
          <w:color w:val="333333"/>
          <w:sz w:val="21"/>
          <w:szCs w:val="21"/>
        </w:rPr>
        <w:t xml:space="preserve">Processus de réconciliation documenté : procédure pas-à-pas, responsabilités, fréquences, escalades</w:t>
      </w:r>
    </w:p>
    <w:p>
      <w:pPr>
        <w:pStyle w:val="ListParagraph"/>
        <w:numPr>
          <w:ilvl w:val="0"/>
          <w:numId w:val="2"/>
        </w:numPr>
        <w:spacing w:after="100" w:line="276"/>
      </w:pPr>
      <w:r>
        <w:rPr>
          <w:rFonts w:ascii="Inter" w:cs="Inter" w:eastAsia="Inter" w:hAnsi="Inter"/>
          <w:color w:val="333333"/>
          <w:sz w:val="21"/>
          <w:szCs w:val="21"/>
        </w:rPr>
        <w:t xml:space="preserve">Outil de réconciliation opérationnel (fichier Excel avancé ou dashboard web) paramétré avec les données réelles du client</w:t>
      </w:r>
    </w:p>
    <w:p>
      <w:pPr>
        <w:pStyle w:val="ListParagraph"/>
        <w:numPr>
          <w:ilvl w:val="0"/>
          <w:numId w:val="2"/>
        </w:numPr>
        <w:spacing w:after="100" w:line="276"/>
      </w:pPr>
      <w:r>
        <w:rPr>
          <w:rFonts w:ascii="Inter" w:cs="Inter" w:eastAsia="Inter" w:hAnsi="Inter"/>
          <w:color w:val="333333"/>
          <w:sz w:val="21"/>
          <w:szCs w:val="21"/>
        </w:rPr>
        <w:t xml:space="preserve">Processus de gestion des réclamations documenté : circuit de traitement, catégorisation des réclamations (technique, financier, commercial), SLA par catégorie, modèles de réponses clients, escalades</w:t>
      </w:r>
    </w:p>
    <w:p>
      <w:pPr>
        <w:pStyle w:val="ListParagraph"/>
        <w:numPr>
          <w:ilvl w:val="0"/>
          <w:numId w:val="2"/>
        </w:numPr>
        <w:spacing w:after="100" w:line="276"/>
      </w:pPr>
      <w:r>
        <w:rPr>
          <w:rFonts w:ascii="Inter" w:cs="Inter" w:eastAsia="Inter" w:hAnsi="Inter"/>
          <w:color w:val="333333"/>
          <w:sz w:val="21"/>
          <w:szCs w:val="21"/>
        </w:rPr>
        <w:t xml:space="preserve">Outil de suivi des réclamations (tracker paramétré : statut, délai, cause racine, résolution)</w:t>
      </w:r>
    </w:p>
    <w:p>
      <w:pPr>
        <w:pStyle w:val="ListParagraph"/>
        <w:numPr>
          <w:ilvl w:val="0"/>
          <w:numId w:val="2"/>
        </w:numPr>
        <w:spacing w:after="100" w:line="276"/>
      </w:pPr>
      <w:r>
        <w:rPr>
          <w:rFonts w:ascii="Inter" w:cs="Inter" w:eastAsia="Inter" w:hAnsi="Inter"/>
          <w:color w:val="333333"/>
          <w:sz w:val="21"/>
          <w:szCs w:val="21"/>
        </w:rPr>
        <w:t xml:space="preserve">Formation de l’équipe (4–6 sessions) : 2–3 sessions sur la réconciliation (processus + outil + cas pratiques), 2–3 sessions sur la gestion des réclamations (catégorisation, investigation, résolution, communication client)</w:t>
      </w:r>
    </w:p>
    <w:p>
      <w:pPr>
        <w:pStyle w:val="ListParagraph"/>
        <w:numPr>
          <w:ilvl w:val="0"/>
          <w:numId w:val="2"/>
        </w:numPr>
        <w:spacing w:after="100" w:line="276"/>
      </w:pPr>
      <w:r>
        <w:rPr>
          <w:rFonts w:ascii="Inter" w:cs="Inter" w:eastAsia="Inter" w:hAnsi="Inter"/>
          <w:color w:val="333333"/>
          <w:sz w:val="21"/>
          <w:szCs w:val="21"/>
        </w:rPr>
        <w:t xml:space="preserve">Guide de dépannage : que faire quand un écart est détecté ou quand une réclamation complexe arrive — arbres de décision pratiques</w:t>
      </w:r>
    </w:p>
    <w:p>
      <w:pPr>
        <w:pStyle w:val="ListParagraph"/>
        <w:numPr>
          <w:ilvl w:val="0"/>
          <w:numId w:val="2"/>
        </w:numPr>
        <w:spacing w:after="100" w:line="276"/>
      </w:pPr>
      <w:r>
        <w:rPr>
          <w:rFonts w:ascii="Inter" w:cs="Inter" w:eastAsia="Inter" w:hAnsi="Inter"/>
          <w:color w:val="333333"/>
          <w:sz w:val="21"/>
          <w:szCs w:val="21"/>
        </w:rPr>
        <w:t xml:space="preserve">Suivi post-mission (1 mois) : 3 points de contrôle pour vérifier que les processus tiennent et que l’équipe est autonome</w:t>
      </w:r>
    </w:p>
    <w:p>
      <w:pPr>
        <w:spacing w:after="50"/>
      </w:pPr>
    </w:p>
    <w:p>
      <w:pPr>
        <w:spacing w:after="150" w:line="276"/>
        <w:jc w:val="both"/>
      </w:pPr>
      <w:r>
        <w:rPr>
          <w:rFonts w:ascii="Inter" w:cs="Inter" w:eastAsia="Inter" w:hAnsi="Inter"/>
          <w:b/>
          <w:bCs/>
          <w:color w:val="1A1A2E"/>
          <w:sz w:val="21"/>
          <w:szCs w:val="21"/>
        </w:rPr>
        <w:t xml:space="preserve">Pour qui : </w:t>
      </w:r>
      <w:r>
        <w:rPr>
          <w:rFonts w:ascii="Inter" w:cs="Inter" w:eastAsia="Inter" w:hAnsi="Inter"/>
          <w:color w:val="333333"/>
          <w:sz w:val="21"/>
          <w:szCs w:val="21"/>
        </w:rPr>
        <w:t xml:space="preserve">Toute structure traitant des transactions électroniques avec un ou plusieurs partenaires (PSP, banque, opérateur Mobile Money). Particulièrement adapté aux fintechs de 6–24 mois d’existence qui ont grandi sans structurer leurs processus opérationnels et financiers.</w:t>
      </w:r>
    </w:p>
    <w:p>
      <w:pPr>
        <w:spacing w:after="150" w:line="276"/>
        <w:jc w:val="both"/>
      </w:pPr>
      <w:r>
        <w:rPr>
          <w:rFonts w:ascii="Inter" w:cs="Inter" w:eastAsia="Inter" w:hAnsi="Inter"/>
          <w:b/>
          <w:bCs/>
          <w:color w:val="1A1A2E"/>
          <w:sz w:val="21"/>
          <w:szCs w:val="21"/>
        </w:rPr>
        <w:t xml:space="preserve">Prérequis : </w:t>
      </w:r>
      <w:r>
        <w:rPr>
          <w:rFonts w:ascii="Inter" w:cs="Inter" w:eastAsia="Inter" w:hAnsi="Inter"/>
          <w:color w:val="333333"/>
          <w:sz w:val="21"/>
          <w:szCs w:val="21"/>
        </w:rPr>
        <w:t xml:space="preserve">Accès complet aux données transactionnelles et aux relevés partenaires. Accès à l’historique des réclamations. Un référent interne dédié (finance ou ops) disponible pour des sessions de travail hebdomadaires. Disponibilité des équipes concernées pour les sessions de formation.</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VUE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
            </w:r>
          </w:p>
        </w:tc>
        <w:tc>
          <w:tcPr>
            <w:tcW w:type="dxa" w:w="2275"/>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Diagnostic</w:t>
            </w:r>
          </w:p>
        </w:tc>
        <w:tc>
          <w:tcPr>
            <w:tcW w:type="dxa" w:w="2275"/>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Modèle éco</w:t>
            </w:r>
          </w:p>
        </w:tc>
        <w:tc>
          <w:tcPr>
            <w:tcW w:type="dxa" w:w="2276"/>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Réconciliation &amp; Réclamations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bCs/>
                <w:color w:val="333333"/>
                <w:sz w:val="20"/>
                <w:szCs w:val="20"/>
              </w:rPr>
              <w:t xml:space="preserve">Tarif</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250 000 — 400 000 F</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300 000 — 500 000 F</w:t>
            </w:r>
          </w:p>
        </w:tc>
        <w:tc>
          <w:tcPr>
            <w:tcW w:type="dxa" w:w="2276"/>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400 000 — 750 000 F</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bCs/>
                <w:color w:val="333333"/>
                <w:sz w:val="20"/>
                <w:szCs w:val="20"/>
              </w:rPr>
              <w:t xml:space="preserve">Durée</w:t>
            </w:r>
          </w:p>
        </w:tc>
        <w:tc>
          <w:tcPr>
            <w:tcW w:type="dxa" w:w="2275"/>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5–10 jours</w:t>
            </w:r>
          </w:p>
        </w:tc>
        <w:tc>
          <w:tcPr>
            <w:tcW w:type="dxa" w:w="2275"/>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7–15 jours</w:t>
            </w:r>
          </w:p>
        </w:tc>
        <w:tc>
          <w:tcPr>
            <w:tcW w:type="dxa" w:w="227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15–25 jours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bCs/>
                <w:color w:val="333333"/>
                <w:sz w:val="20"/>
                <w:szCs w:val="20"/>
              </w:rPr>
              <w:t xml:space="preserve">Complexité client</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Faible (fournir des exports)</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Moyenne (partager le business plan)</w:t>
            </w:r>
          </w:p>
        </w:tc>
        <w:tc>
          <w:tcPr>
            <w:tcW w:type="dxa" w:w="2276"/>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Élevée (implication régulière + équipes en formation)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bCs/>
                <w:color w:val="333333"/>
                <w:sz w:val="20"/>
                <w:szCs w:val="20"/>
              </w:rPr>
              <w:t xml:space="preserve">Outil livré</w:t>
            </w:r>
          </w:p>
        </w:tc>
        <w:tc>
          <w:tcPr>
            <w:tcW w:type="dxa" w:w="2275"/>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Template de suivi</w:t>
            </w:r>
          </w:p>
        </w:tc>
        <w:tc>
          <w:tcPr>
            <w:tcW w:type="dxa" w:w="2275"/>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Modèle de rentabilité Excel</w:t>
            </w:r>
          </w:p>
        </w:tc>
        <w:tc>
          <w:tcPr>
            <w:tcW w:type="dxa" w:w="227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Dashboard réconciliation + tracker réclamations + formation équipe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bCs/>
                <w:color w:val="333333"/>
                <w:sz w:val="20"/>
                <w:szCs w:val="20"/>
              </w:rPr>
              <w:t xml:space="preserve">Idéal pour</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Fintech qui sent que ça coince mais ne sait pas où</w:t>
            </w:r>
          </w:p>
        </w:tc>
        <w:tc>
          <w:tcPr>
            <w:tcW w:type="dxa" w:w="2275"/>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Fintech qui lance un produit ou évalue un partenaire</w:t>
            </w:r>
          </w:p>
        </w:tc>
        <w:tc>
          <w:tcPr>
            <w:tcW w:type="dxa" w:w="2276"/>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jc w:val="left"/>
            </w:pPr>
            <w:r>
              <w:rPr>
                <w:rFonts w:ascii="Inter" w:cs="Inter" w:eastAsia="Inter" w:hAnsi="Inter"/>
                <w:b w:val="false"/>
                <w:bCs w:val="false"/>
                <w:color w:val="333333"/>
                <w:sz w:val="20"/>
                <w:szCs w:val="20"/>
              </w:rPr>
              <w:t xml:space="preserve">Fintech qui grandit et doit structurer ses ops + former ses équipes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97706" w:sz="6"/>
              <w:bottom w:val="none" w:sz="0"/>
              <w:right w:val="none" w:sz="0"/>
            </w:tcBorders>
            <w:shd w:fill="FFF7ED" w:val="clear"/>
            <w:tcMar>
              <w:top w:type="dxa" w:w="120"/>
              <w:left w:type="dxa" w:w="200"/>
              <w:bottom w:type="dxa" w:w="120"/>
              <w:right w:type="dxa" w:w="200"/>
            </w:tcMar>
          </w:tcPr>
          <w:p>
            <w:pPr>
              <w:spacing w:after="0"/>
            </w:pPr>
            <w:r>
              <w:rPr>
                <w:rFonts w:ascii="Inter" w:cs="Inter" w:eastAsia="Inter" w:hAnsi="Inter"/>
                <w:i/>
                <w:iCs/>
                <w:color w:val="D97706"/>
                <w:sz w:val="21"/>
                <w:szCs w:val="21"/>
              </w:rPr>
              <w:t xml:space="preserve">Logique de progression : l’Offre 1 (Diagnostic) est souvent le point d’entrée naturel. Si le diagnostic révèle des failles dans la réconciliation ou les réclamations, il débouche sur l’Offre 3 qui inclut la structuration des deux processus ET la formation des équipes. L’Offre 2 (Modèle éco) fonctionne en autonomie ou en complément.</w:t>
            </w:r>
          </w:p>
        </w:tc>
      </w:tr>
    </w:tbl>
    <w:p>
      <w:pPr>
        <w:spacing w:after="300"/>
      </w:pPr>
    </w:p>
    <w:p>
      <w:r>
        <w:br w:type="page"/>
      </w:r>
    </w:p>
    <w:p>
      <w:pPr>
        <w:pStyle w:val="Heading1"/>
        <w:pBdr>
          <w:bottom w:val="single" w:color="2563EB" w:sz="2" w:space="8"/>
        </w:pBdr>
        <w:spacing w:after="200" w:before="400"/>
      </w:pPr>
      <w:r>
        <w:rPr>
          <w:rFonts w:ascii="Inter" w:cs="Inter" w:eastAsia="Inter" w:hAnsi="Inter"/>
          <w:b/>
          <w:bCs/>
          <w:color w:val="1A1A2E"/>
          <w:sz w:val="28"/>
          <w:szCs w:val="28"/>
        </w:rPr>
        <w:t xml:space="preserve">CONDITIONS GÉNÉRALES</w:t>
      </w:r>
    </w:p>
    <w:p>
      <w:pPr>
        <w:pStyle w:val="Heading2"/>
        <w:spacing w:after="150" w:before="300"/>
      </w:pPr>
      <w:r>
        <w:rPr>
          <w:rFonts w:ascii="Inter" w:cs="Inter" w:eastAsia="Inter" w:hAnsi="Inter"/>
          <w:b/>
          <w:bCs/>
          <w:color w:val="2563EB"/>
          <w:sz w:val="24"/>
          <w:szCs w:val="24"/>
        </w:rPr>
        <w:t xml:space="preserve">Modalités de paiement</w:t>
      </w:r>
    </w:p>
    <w:p>
      <w:pPr>
        <w:pStyle w:val="ListParagraph"/>
        <w:numPr>
          <w:ilvl w:val="0"/>
          <w:numId w:val="3"/>
        </w:numPr>
        <w:spacing w:after="100" w:line="276"/>
      </w:pPr>
      <w:r>
        <w:rPr>
          <w:rFonts w:ascii="Inter" w:cs="Inter" w:eastAsia="Inter" w:hAnsi="Inter"/>
          <w:color w:val="333333"/>
          <w:sz w:val="21"/>
          <w:szCs w:val="21"/>
        </w:rPr>
        <w:t xml:space="preserve">50% à la signature du devis, 50% à la livraison des livrables finaux</w:t>
      </w:r>
    </w:p>
    <w:p>
      <w:pPr>
        <w:pStyle w:val="ListParagraph"/>
        <w:numPr>
          <w:ilvl w:val="0"/>
          <w:numId w:val="3"/>
        </w:numPr>
        <w:spacing w:after="100" w:line="276"/>
      </w:pPr>
      <w:r>
        <w:rPr>
          <w:rFonts w:ascii="Inter" w:cs="Inter" w:eastAsia="Inter" w:hAnsi="Inter"/>
          <w:color w:val="333333"/>
          <w:sz w:val="21"/>
          <w:szCs w:val="21"/>
        </w:rPr>
        <w:t xml:space="preserve">Paiement par virement bancaire ou Mobile Money (Wave, Orange Money)</w:t>
      </w:r>
    </w:p>
    <w:p>
      <w:pPr>
        <w:pStyle w:val="ListParagraph"/>
        <w:numPr>
          <w:ilvl w:val="0"/>
          <w:numId w:val="3"/>
        </w:numPr>
        <w:spacing w:after="100" w:line="276"/>
      </w:pPr>
      <w:r>
        <w:rPr>
          <w:rFonts w:ascii="Inter" w:cs="Inter" w:eastAsia="Inter" w:hAnsi="Inter"/>
          <w:color w:val="333333"/>
          <w:sz w:val="21"/>
          <w:szCs w:val="21"/>
        </w:rPr>
        <w:t xml:space="preserve">Facturation en FCFA (XOF). Clients hors UEMOA : facturation en EUR possible</w:t>
      </w:r>
    </w:p>
    <w:p>
      <w:pPr>
        <w:spacing w:after="100"/>
      </w:pPr>
    </w:p>
    <w:p>
      <w:pPr>
        <w:pStyle w:val="Heading2"/>
        <w:spacing w:after="150" w:before="300"/>
      </w:pPr>
      <w:r>
        <w:rPr>
          <w:rFonts w:ascii="Inter" w:cs="Inter" w:eastAsia="Inter" w:hAnsi="Inter"/>
          <w:b/>
          <w:bCs/>
          <w:color w:val="2563EB"/>
          <w:sz w:val="24"/>
          <w:szCs w:val="24"/>
        </w:rPr>
        <w:t xml:space="preserve">Mode d’intervention</w:t>
      </w:r>
    </w:p>
    <w:p>
      <w:pPr>
        <w:pStyle w:val="ListParagraph"/>
        <w:numPr>
          <w:ilvl w:val="0"/>
          <w:numId w:val="3"/>
        </w:numPr>
        <w:spacing w:after="100" w:line="276"/>
      </w:pPr>
      <w:r>
        <w:rPr>
          <w:rFonts w:ascii="Inter" w:cs="Inter" w:eastAsia="Inter" w:hAnsi="Inter"/>
          <w:color w:val="333333"/>
          <w:sz w:val="21"/>
          <w:szCs w:val="21"/>
        </w:rPr>
        <w:t xml:space="preserve">Remote par défaut (visio, partage d’écran, outils collaboratifs)</w:t>
      </w:r>
    </w:p>
    <w:p>
      <w:pPr>
        <w:pStyle w:val="ListParagraph"/>
        <w:numPr>
          <w:ilvl w:val="0"/>
          <w:numId w:val="3"/>
        </w:numPr>
        <w:spacing w:after="100" w:line="276"/>
      </w:pPr>
      <w:r>
        <w:rPr>
          <w:rFonts w:ascii="Inter" w:cs="Inter" w:eastAsia="Inter" w:hAnsi="Inter"/>
          <w:color w:val="333333"/>
          <w:sz w:val="21"/>
          <w:szCs w:val="21"/>
        </w:rPr>
        <w:t xml:space="preserve">Présentiel à Abidjan possible (inclus dans le tarif pour les offres 1 et 2, frais de déplacement en sus pour l’offre 3 si hors Abidjan)</w:t>
      </w:r>
    </w:p>
    <w:p>
      <w:pPr>
        <w:pStyle w:val="ListParagraph"/>
        <w:numPr>
          <w:ilvl w:val="0"/>
          <w:numId w:val="3"/>
        </w:numPr>
        <w:spacing w:after="100" w:line="276"/>
      </w:pPr>
      <w:r>
        <w:rPr>
          <w:rFonts w:ascii="Inter" w:cs="Inter" w:eastAsia="Inter" w:hAnsi="Inter"/>
          <w:color w:val="333333"/>
          <w:sz w:val="21"/>
          <w:szCs w:val="21"/>
        </w:rPr>
        <w:t xml:space="preserve">Chaque mission démarre par un kick-off de cadrage (1h) pour aligner les attentes</w:t>
      </w:r>
    </w:p>
    <w:p>
      <w:pPr>
        <w:spacing w:after="100"/>
      </w:pPr>
    </w:p>
    <w:p>
      <w:pPr>
        <w:pStyle w:val="Heading2"/>
        <w:spacing w:after="150" w:before="300"/>
      </w:pPr>
      <w:r>
        <w:rPr>
          <w:rFonts w:ascii="Inter" w:cs="Inter" w:eastAsia="Inter" w:hAnsi="Inter"/>
          <w:b/>
          <w:bCs/>
          <w:color w:val="2563EB"/>
          <w:sz w:val="24"/>
          <w:szCs w:val="24"/>
        </w:rPr>
        <w:t xml:space="preserve">Confidentialité</w:t>
      </w:r>
    </w:p>
    <w:p>
      <w:pPr>
        <w:spacing w:after="150" w:line="276"/>
        <w:jc w:val="both"/>
      </w:pPr>
      <w:r>
        <w:rPr>
          <w:rFonts w:ascii="Inter" w:cs="Inter" w:eastAsia="Inter" w:hAnsi="Inter"/>
          <w:i w:val="false"/>
          <w:iCs w:val="false"/>
          <w:color w:val="333333"/>
          <w:sz w:val="21"/>
          <w:szCs w:val="21"/>
        </w:rPr>
        <w:t xml:space="preserve">PAYX s’engage à la confidentialité totale sur les données et informations partagées dans le cadre de chaque mission. Un accord de confidentialité (NDA) est signé systématiquement avant tout partage de données sensibles.</w:t>
      </w:r>
    </w:p>
    <w:p>
      <w:pPr>
        <w:spacing w:after="100"/>
      </w:pPr>
    </w:p>
    <w:p>
      <w:pPr>
        <w:pStyle w:val="Heading2"/>
        <w:spacing w:after="150" w:before="300"/>
      </w:pPr>
      <w:r>
        <w:rPr>
          <w:rFonts w:ascii="Inter" w:cs="Inter" w:eastAsia="Inter" w:hAnsi="Inter"/>
          <w:b/>
          <w:bCs/>
          <w:color w:val="2563EB"/>
          <w:sz w:val="24"/>
          <w:szCs w:val="24"/>
        </w:rPr>
        <w:t xml:space="preserve">Ce que PAYX ne fait pas (encore)</w:t>
      </w:r>
    </w:p>
    <w:p>
      <w:pPr>
        <w:spacing w:after="150" w:line="276"/>
        <w:jc w:val="both"/>
      </w:pPr>
      <w:r>
        <w:rPr>
          <w:rFonts w:ascii="Inter" w:cs="Inter" w:eastAsia="Inter" w:hAnsi="Inter"/>
          <w:i w:val="false"/>
          <w:iCs w:val="false"/>
          <w:color w:val="333333"/>
          <w:sz w:val="21"/>
          <w:szCs w:val="21"/>
        </w:rPr>
        <w:t xml:space="preserve">Par honnêté intellectuelle et pour garantir la qualité de nos interventions, voici ce que nous ne proposons pas à ce stade :</w:t>
      </w:r>
    </w:p>
    <w:p>
      <w:pPr>
        <w:pStyle w:val="ListParagraph"/>
        <w:numPr>
          <w:ilvl w:val="0"/>
          <w:numId w:val="3"/>
        </w:numPr>
        <w:spacing w:after="100" w:line="276"/>
      </w:pPr>
      <w:r>
        <w:rPr>
          <w:rFonts w:ascii="Inter" w:cs="Inter" w:eastAsia="Inter" w:hAnsi="Inter"/>
          <w:color w:val="333333"/>
          <w:sz w:val="21"/>
          <w:szCs w:val="21"/>
        </w:rPr>
        <w:t xml:space="preserve">Audit de certification PCI DSS (nécessite une accréditation QSA que nous n’avons pas)</w:t>
      </w:r>
    </w:p>
    <w:p>
      <w:pPr>
        <w:pStyle w:val="ListParagraph"/>
        <w:numPr>
          <w:ilvl w:val="0"/>
          <w:numId w:val="3"/>
        </w:numPr>
        <w:spacing w:after="100" w:line="276"/>
      </w:pPr>
      <w:r>
        <w:rPr>
          <w:rFonts w:ascii="Inter" w:cs="Inter" w:eastAsia="Inter" w:hAnsi="Inter"/>
          <w:color w:val="333333"/>
          <w:sz w:val="21"/>
          <w:szCs w:val="21"/>
        </w:rPr>
        <w:t xml:space="preserve">Développement de logiciel sur mesure (nous livrons des outils paramétrés, pas du développement custom)</w:t>
      </w:r>
    </w:p>
    <w:p>
      <w:pPr>
        <w:pStyle w:val="ListParagraph"/>
        <w:numPr>
          <w:ilvl w:val="0"/>
          <w:numId w:val="3"/>
        </w:numPr>
        <w:spacing w:after="100" w:line="276"/>
      </w:pPr>
      <w:r>
        <w:rPr>
          <w:rFonts w:ascii="Inter" w:cs="Inter" w:eastAsia="Inter" w:hAnsi="Inter"/>
          <w:color w:val="333333"/>
          <w:sz w:val="21"/>
          <w:szCs w:val="21"/>
        </w:rPr>
        <w:t xml:space="preserve">Conseil juridique ou réglementaire formel (nous orientons, mais ne remplaçons pas un cabinet juridique)</w:t>
      </w:r>
    </w:p>
    <w:p>
      <w:pPr>
        <w:pStyle w:val="ListParagraph"/>
        <w:numPr>
          <w:ilvl w:val="0"/>
          <w:numId w:val="3"/>
        </w:numPr>
        <w:spacing w:after="100" w:line="276"/>
      </w:pPr>
      <w:r>
        <w:rPr>
          <w:rFonts w:ascii="Inter" w:cs="Inter" w:eastAsia="Inter" w:hAnsi="Inter"/>
          <w:color w:val="333333"/>
          <w:sz w:val="21"/>
          <w:szCs w:val="21"/>
        </w:rPr>
        <w:t xml:space="preserve">Intégration technique d’API de paiement (nous recommandons, l’équipe technique du client implémente)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97706" w:sz="6"/>
              <w:bottom w:val="none" w:sz="0"/>
              <w:right w:val="none" w:sz="0"/>
            </w:tcBorders>
            <w:shd w:fill="FFF7ED" w:val="clear"/>
            <w:tcMar>
              <w:top w:type="dxa" w:w="120"/>
              <w:left w:type="dxa" w:w="200"/>
              <w:bottom w:type="dxa" w:w="120"/>
              <w:right w:type="dxa" w:w="200"/>
            </w:tcMar>
          </w:tcPr>
          <w:p>
            <w:pPr>
              <w:spacing w:after="0"/>
            </w:pPr>
            <w:r>
              <w:rPr>
                <w:rFonts w:ascii="Inter" w:cs="Inter" w:eastAsia="Inter" w:hAnsi="Inter"/>
                <w:i/>
                <w:iCs/>
                <w:color w:val="D97706"/>
                <w:sz w:val="21"/>
                <w:szCs w:val="21"/>
              </w:rPr>
              <w:t xml:space="preserve">Ces limites sont temporaires. À mesure que PAYX grandit et structure ses partenariats, certaines de ces offres seront ajoutées au catalogue — en direct ou via des partenaires qualifiés.</w:t>
            </w:r>
          </w:p>
        </w:tc>
      </w:tr>
    </w:tbl>
    <w:p>
      <w:pPr>
        <w:spacing w:after="300"/>
      </w:pPr>
    </w:p>
    <w:p>
      <w:pPr>
        <w:pStyle w:val="Heading1"/>
        <w:pBdr>
          <w:bottom w:val="single" w:color="2563EB" w:sz="2" w:space="8"/>
        </w:pBdr>
        <w:spacing w:after="200" w:before="400"/>
      </w:pPr>
      <w:r>
        <w:rPr>
          <w:rFonts w:ascii="Inter" w:cs="Inter" w:eastAsia="Inter" w:hAnsi="Inter"/>
          <w:b/>
          <w:bCs/>
          <w:color w:val="1A1A2E"/>
          <w:sz w:val="28"/>
          <w:szCs w:val="28"/>
        </w:rPr>
        <w:t xml:space="preserve">EN PRÉPARATION</w:t>
      </w:r>
    </w:p>
    <w:p>
      <w:pPr>
        <w:spacing w:after="150" w:line="276"/>
        <w:jc w:val="both"/>
      </w:pPr>
      <w:r>
        <w:rPr>
          <w:rFonts w:ascii="Inter" w:cs="Inter" w:eastAsia="Inter" w:hAnsi="Inter"/>
          <w:i w:val="false"/>
          <w:iCs w:val="false"/>
          <w:color w:val="333333"/>
          <w:sz w:val="21"/>
          <w:szCs w:val="21"/>
        </w:rPr>
        <w:t xml:space="preserve">Les offres suivantes sont en cours de structuration et seront disponibles dans les 6 à 12 prochains mois :</w:t>
      </w:r>
    </w:p>
    <w:p>
      <w:pPr>
        <w:spacing w:after="50"/>
      </w:pPr>
    </w:p>
    <w:p>
      <w:pPr>
        <w:spacing w:after="150" w:line="276"/>
        <w:jc w:val="both"/>
      </w:pPr>
      <w:r>
        <w:rPr>
          <w:rFonts w:ascii="Inter" w:cs="Inter" w:eastAsia="Inter" w:hAnsi="Inter"/>
          <w:b/>
          <w:bCs/>
          <w:color w:val="1A1A2E"/>
          <w:sz w:val="21"/>
          <w:szCs w:val="21"/>
        </w:rPr>
        <w:t xml:space="preserve">Formation « Fondamentaux de la monétique » — </w:t>
      </w:r>
      <w:r>
        <w:rPr>
          <w:rFonts w:ascii="Inter" w:cs="Inter" w:eastAsia="Inter" w:hAnsi="Inter"/>
          <w:color w:val="333333"/>
          <w:sz w:val="21"/>
          <w:szCs w:val="21"/>
        </w:rPr>
        <w:t xml:space="preserve">Bootcamp de 2 jours pour équipes non-techniques de fintechs. Format inter-entreprises (tarif par participant) ou intra-entreprise (forfait). Différent de la formation incluse dans l’Offre 3 qui est ciblée réconciliation/réclamations : ce bootcamp couvre l’ensemble de la chaîne monétique (ISO 8583, EMV, flux d’autorisation, compensation, règlement). Actuellement en phase de conception du contenu pédagogique.</w:t>
      </w:r>
    </w:p>
    <w:p>
      <w:pPr>
        <w:spacing w:after="50"/>
      </w:pPr>
    </w:p>
    <w:p>
      <w:pPr>
        <w:spacing w:after="150" w:line="276"/>
        <w:jc w:val="both"/>
      </w:pPr>
      <w:r>
        <w:rPr>
          <w:rFonts w:ascii="Inter" w:cs="Inter" w:eastAsia="Inter" w:hAnsi="Inter"/>
          <w:b/>
          <w:bCs/>
          <w:color w:val="1A1A2E"/>
          <w:sz w:val="21"/>
          <w:szCs w:val="21"/>
        </w:rPr>
        <w:t xml:space="preserve">Accompagnement conformité PCI DSS — </w:t>
      </w:r>
      <w:r>
        <w:rPr>
          <w:rFonts w:ascii="Inter" w:cs="Inter" w:eastAsia="Inter" w:hAnsi="Inter"/>
          <w:color w:val="333333"/>
          <w:sz w:val="21"/>
          <w:szCs w:val="21"/>
        </w:rPr>
        <w:t xml:space="preserve">Préparation à la certification (gap analysis, plan de remédiation, accompagnement jusqu’à l’audit). Nécessite la finalisation d’un partenariat avec un QSA accrédité.</w:t>
      </w:r>
    </w:p>
    <w:p>
      <w:pPr>
        <w:spacing w:after="50"/>
      </w:pPr>
    </w:p>
    <w:p>
      <w:pPr>
        <w:spacing w:after="150" w:line="276"/>
        <w:jc w:val="both"/>
      </w:pPr>
      <w:r>
        <w:rPr>
          <w:rFonts w:ascii="Inter" w:cs="Inter" w:eastAsia="Inter" w:hAnsi="Inter"/>
          <w:b/>
          <w:bCs/>
          <w:color w:val="1A1A2E"/>
          <w:sz w:val="21"/>
          <w:szCs w:val="21"/>
        </w:rPr>
        <w:t xml:space="preserve">Stratégie de programme de cartes — </w:t>
      </w:r>
      <w:r>
        <w:rPr>
          <w:rFonts w:ascii="Inter" w:cs="Inter" w:eastAsia="Inter" w:hAnsi="Inter"/>
          <w:color w:val="333333"/>
          <w:sz w:val="21"/>
          <w:szCs w:val="21"/>
        </w:rPr>
        <w:t xml:space="preserve">Accompagnement complet pour le lancement d’un programme de cartes prépayées ou de débit (choix du processeur, négociation réseau, modélisation de rentabilité). Offre haut de gamme, tarification à définir.</w:t>
      </w:r>
    </w:p>
    <w:p>
      <w:pPr>
        <w:spacing w:after="50"/>
      </w:pPr>
    </w:p>
    <w:p>
      <w:pPr>
        <w:spacing w:after="150" w:line="276"/>
        <w:jc w:val="both"/>
      </w:pPr>
      <w:r>
        <w:rPr>
          <w:rFonts w:ascii="Inter" w:cs="Inter" w:eastAsia="Inter" w:hAnsi="Inter"/>
          <w:b/>
          <w:bCs/>
          <w:color w:val="1A1A2E"/>
          <w:sz w:val="21"/>
          <w:szCs w:val="21"/>
        </w:rPr>
        <w:t xml:space="preserve">Outils SaaS en libre-service — </w:t>
      </w:r>
      <w:r>
        <w:rPr>
          <w:rFonts w:ascii="Inter" w:cs="Inter" w:eastAsia="Inter" w:hAnsi="Inter"/>
          <w:color w:val="333333"/>
          <w:sz w:val="21"/>
          <w:szCs w:val="21"/>
        </w:rPr>
        <w:t xml:space="preserve">Accès par abonnement aux outils PAYX (simulateur de rentabilité, dashboard de réconciliation, benchmark des frais). Déploiement prévu après validation en conditions réelles sur les missions client.</w:t>
      </w:r>
    </w:p>
    <w:p>
      <w:pPr>
        <w:spacing w:after="300"/>
      </w:pPr>
    </w:p>
    <w:p>
      <w:pPr>
        <w:pBdr>
          <w:top w:val="single" w:color="2563EB" w:sz="2" w:space="12"/>
        </w:pBdr>
        <w:spacing w:after="100" w:before="400"/>
        <w:jc w:val="center"/>
      </w:pPr>
      <w:r>
        <w:rPr>
          <w:rFonts w:ascii="Inter" w:cs="Inter" w:eastAsia="Inter" w:hAnsi="Inter"/>
          <w:b/>
          <w:bCs/>
          <w:color w:val="1A1A2E"/>
          <w:sz w:val="24"/>
          <w:szCs w:val="24"/>
        </w:rPr>
        <w:t xml:space="preserve">Prochaine étape</w:t>
      </w:r>
    </w:p>
    <w:p>
      <w:pPr>
        <w:spacing w:after="200"/>
        <w:jc w:val="center"/>
      </w:pPr>
      <w:r>
        <w:rPr>
          <w:rFonts w:ascii="Inter" w:cs="Inter" w:eastAsia="Inter" w:hAnsi="Inter"/>
          <w:color w:val="333333"/>
          <w:sz w:val="21"/>
          <w:szCs w:val="21"/>
        </w:rPr>
        <w:t xml:space="preserve">Un appel de 30 minutes pour comprendre votre contexte et identifier l’offre adaptée.</w:t>
      </w:r>
    </w:p>
    <w:p>
      <w:pPr>
        <w:spacing w:after="100"/>
        <w:jc w:val="center"/>
      </w:pPr>
      <w:r>
        <w:rPr>
          <w:rFonts w:ascii="Inter" w:cs="Inter" w:eastAsia="Inter" w:hAnsi="Inter"/>
          <w:b/>
          <w:bCs/>
          <w:color w:val="2563EB"/>
          <w:sz w:val="21"/>
          <w:szCs w:val="21"/>
        </w:rPr>
        <w:t xml:space="preserve">Contact : [email à définir] | [téléphone à définir]</w:t>
      </w:r>
    </w:p>
    <w:p>
      <w:pPr>
        <w:spacing w:after="200"/>
      </w:pPr>
    </w:p>
    <w:p>
      <w:pPr>
        <w:jc w:val="center"/>
      </w:pPr>
      <w:r>
        <w:rPr>
          <w:rFonts w:ascii="Inter" w:cs="Inter" w:eastAsia="Inter" w:hAnsi="Inter"/>
          <w:i/>
          <w:iCs/>
          <w:color w:val="6B7280"/>
          <w:sz w:val="20"/>
          <w:szCs w:val="20"/>
        </w:rPr>
        <w:t xml:space="preserve">PAYX — Consulting &amp; Solutions Monétiques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6"/>
      </w:pBdr>
    </w:pPr>
    <w:r>
      <w:rPr>
        <w:rFonts w:ascii="Inter" w:cs="Inter" w:eastAsia="Inter" w:hAnsi="Inter"/>
        <w:b/>
        <w:bCs/>
        <w:color w:val="2563EB"/>
        <w:sz w:val="16"/>
        <w:szCs w:val="16"/>
      </w:rPr>
      <w:t xml:space="preserve">PAYX</w:t>
    </w:r>
    <w:r>
      <w:rPr>
        <w:rFonts w:ascii="Inter" w:cs="Inter" w:eastAsia="Inter" w:hAnsi="Inter"/>
        <w:color w:val="6B7280"/>
        <w:sz w:val="16"/>
        <w:szCs w:val="16"/>
      </w:rPr>
      <w:t xml:space="preserve">  |  Catalogue d’offres de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Inter" w:cs="Inter" w:eastAsia="Inter" w:hAnsi="Inter"/>
      <w:b/>
      <w:bCs/>
      <w:color w:val="1A1A2E"/>
      <w:sz w:val="28"/>
      <w:szCs w:val="28"/>
    </w:rPr>
  </w:style>
  <w:style w:type="paragraph" w:styleId="Heading2">
    <w:name w:val="Heading 2"/>
    <w:basedOn w:val="Normal"/>
    <w:next w:val="Normal"/>
    <w:qFormat/>
    <w:pPr>
      <w:spacing w:after="150" w:before="300"/>
      <w:outlineLvl w:val="1"/>
    </w:pPr>
    <w:rPr>
      <w:rFonts w:ascii="Inter" w:cs="Inter" w:eastAsia="Inter" w:hAnsi="Inter"/>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2026-04-13T13:45:21.130Z</dcterms:created>
  <dcterms:modified xsi:type="dcterms:W3CDTF">2026-04-13T13:45:21.131Z</dcterms:modified>
</cp:coreProperties>
</file>

<file path=docProps/custom.xml><?xml version="1.0" encoding="utf-8"?>
<Properties xmlns="http://schemas.openxmlformats.org/officeDocument/2006/custom-properties" xmlns:vt="http://schemas.openxmlformats.org/officeDocument/2006/docPropsVTypes"/>
</file>