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Playfair Display" w:cs="Playfair Display" w:eastAsia="Playfair Display" w:hAnsi="Playfair Display"/>
          <w:b/>
          <w:bCs/>
          <w:color w:val="1A1A2E"/>
          <w:sz w:val="72"/>
          <w:szCs w:val="72"/>
        </w:rPr>
        <w:t xml:space="preserve">PAYX</w:t>
      </w:r>
    </w:p>
    <w:p>
      <w:pPr>
        <w:pBdr>
          <w:bottom w:val="single" w:color="2563EB" w:sz="3" w:space="12"/>
        </w:pBdr>
        <w:spacing w:after="100"/>
        <w:jc w:val="center"/>
      </w:pPr>
      <w:r>
        <w:rPr>
          <w:rFonts w:ascii="Inter" w:cs="Inter" w:eastAsia="Inter" w:hAnsi="Inter"/>
          <w:color w:val="2563EB"/>
          <w:spacing w:val="200"/>
          <w:sz w:val="24"/>
          <w:szCs w:val="24"/>
        </w:rPr>
        <w:t xml:space="preserve">CONSULTING &amp; SOLUTIONS MONÉTIQUES</w:t>
      </w:r>
    </w:p>
    <w:p>
      <w:pPr>
        <w:spacing w:after="600"/>
      </w:pPr>
    </w:p>
    <w:p>
      <w:pPr>
        <w:spacing w:after="100"/>
        <w:jc w:val="center"/>
      </w:pPr>
      <w:r>
        <w:rPr>
          <w:rFonts w:ascii="Inter" w:cs="Inter" w:eastAsia="Inter" w:hAnsi="Inter"/>
          <w:b/>
          <w:bCs/>
          <w:color w:val="1A1A2E"/>
          <w:sz w:val="28"/>
          <w:szCs w:val="28"/>
        </w:rPr>
        <w:t xml:space="preserve">DOCUMENT DE POSITIONNEMENT STRATÉGIQUE</w:t>
      </w:r>
    </w:p>
    <w:p>
      <w:pPr>
        <w:spacing w:after="200"/>
      </w:pPr>
    </w:p>
    <w:p>
      <w:pPr>
        <w:spacing w:after="80"/>
        <w:jc w:val="center"/>
      </w:pPr>
      <w:r>
        <w:rPr>
          <w:rFonts w:ascii="Inter" w:cs="Inter" w:eastAsia="Inter" w:hAnsi="Inter"/>
          <w:color w:val="6B7280"/>
          <w:sz w:val="20"/>
          <w:szCs w:val="20"/>
        </w:rPr>
        <w:t xml:space="preserve">Version 1.0 — Avril 2026</w:t>
      </w:r>
    </w:p>
    <w:p>
      <w:pPr>
        <w:jc w:val="center"/>
      </w:pPr>
      <w:r>
        <w:rPr>
          <w:rFonts w:ascii="Inter" w:cs="Inter" w:eastAsia="Inter" w:hAnsi="Inter"/>
          <w:i/>
          <w:iCs/>
          <w:color w:val="6B7280"/>
          <w:sz w:val="20"/>
          <w:szCs w:val="20"/>
        </w:rPr>
        <w:t xml:space="preserve">Document confidentiel</w:t>
      </w:r>
    </w:p>
    <w:p>
      <w:pPr>
        <w:spacing w:after="2000"/>
      </w:pPr>
    </w:p>
    <w:p>
      <w:pPr>
        <w:pBdr>
          <w:top w:val="single" w:color="D1D5DB" w:sz="1" w:space="12"/>
        </w:pBdr>
        <w:spacing w:before="200"/>
        <w:jc w:val="center"/>
      </w:pPr>
      <w:r>
        <w:rPr>
          <w:rFonts w:ascii="Inter" w:cs="Inter" w:eastAsia="Inter" w:hAnsi="Inter"/>
          <w:color w:val="6B7280"/>
          <w:sz w:val="20"/>
          <w:szCs w:val="20"/>
        </w:rPr>
        <w:t xml:space="preserve">Abidjan, Côte d’Ivoire</w:t>
      </w:r>
    </w:p>
    <w:p>
      <w:pPr>
        <w:sectPr>
          <w:pgSz w:w="11906" w:h="16838" w:orient="portrait"/>
          <w:pgMar w:top="1440" w:right="1440" w:bottom="1440" w:left="1440" w:header="708" w:footer="708" w:gutter="0"/>
          <w:pgNumType/>
          <w:docGrid w:linePitch="360"/>
        </w:sectPr>
      </w:pPr>
    </w:p>
    <w:p>
      <w:pPr>
        <w:pStyle w:val="Heading1"/>
        <w:pBdr>
          <w:bottom w:val="single" w:color="2563EB" w:sz="2" w:space="8"/>
        </w:pBdr>
        <w:spacing w:after="200" w:before="400"/>
      </w:pPr>
      <w:r>
        <w:rPr>
          <w:rFonts w:ascii="Inter" w:cs="Inter" w:eastAsia="Inter" w:hAnsi="Inter"/>
          <w:b/>
          <w:bCs/>
          <w:color w:val="1A1A2E"/>
          <w:sz w:val="28"/>
          <w:szCs w:val="28"/>
        </w:rPr>
        <w:t xml:space="preserve">1. VISION &amp; MISSION</w:t>
      </w:r>
    </w:p>
    <w:p>
      <w:pPr>
        <w:pStyle w:val="Heading2"/>
        <w:spacing w:after="150" w:before="300"/>
      </w:pPr>
      <w:r>
        <w:rPr>
          <w:rFonts w:ascii="Inter" w:cs="Inter" w:eastAsia="Inter" w:hAnsi="Inter"/>
          <w:b/>
          <w:bCs/>
          <w:color w:val="2563EB"/>
          <w:sz w:val="24"/>
          <w:szCs w:val="24"/>
        </w:rPr>
        <w:t xml:space="preserve">Notre vision</w:t>
      </w:r>
    </w:p>
    <w:p>
      <w:pPr>
        <w:spacing w:after="150" w:line="276"/>
        <w:jc w:val="both"/>
      </w:pPr>
      <w:r>
        <w:rPr>
          <w:rFonts w:ascii="Inter" w:cs="Inter" w:eastAsia="Inter" w:hAnsi="Inter"/>
          <w:color w:val="333333"/>
          <w:sz w:val="21"/>
          <w:szCs w:val="21"/>
        </w:rPr>
        <w:t xml:space="preserve">Devenir le partenaire de référence des acteurs du paiement digital en Afrique francophone, en combinant expertise conseil, outils opérationnels concrets et formation de haut niveau.</w:t>
      </w:r>
    </w:p>
    <w:p>
      <w:pPr>
        <w:spacing w:after="100"/>
      </w:pPr>
    </w:p>
    <w:p>
      <w:pPr>
        <w:pStyle w:val="Heading2"/>
        <w:spacing w:after="150" w:before="300"/>
      </w:pPr>
      <w:r>
        <w:rPr>
          <w:rFonts w:ascii="Inter" w:cs="Inter" w:eastAsia="Inter" w:hAnsi="Inter"/>
          <w:b/>
          <w:bCs/>
          <w:color w:val="2563EB"/>
          <w:sz w:val="24"/>
          <w:szCs w:val="24"/>
        </w:rPr>
        <w:t xml:space="preserve">Notre mission</w:t>
      </w:r>
    </w:p>
    <w:p>
      <w:pPr>
        <w:spacing w:after="150" w:line="276"/>
        <w:jc w:val="both"/>
      </w:pPr>
      <w:r>
        <w:rPr>
          <w:rFonts w:ascii="Inter" w:cs="Inter" w:eastAsia="Inter" w:hAnsi="Inter"/>
          <w:color w:val="333333"/>
          <w:sz w:val="21"/>
          <w:szCs w:val="21"/>
        </w:rPr>
        <w:t xml:space="preserve">PAYX accompagne les fintechs, startups de paiement et acteurs de l’écosystème monétique dans la structuration, l’optimisation et la mise en conformité de leurs activités de paiement électronique. Nous apportons une expertise accessible, outillée et actionnable — pas des PowerPoints théoriques, mais des solutions qui s’implémentent.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563EB" w:sz="6"/>
              <w:bottom w:val="none" w:sz="0"/>
              <w:right w:val="none" w:sz="0"/>
            </w:tcBorders>
            <w:shd w:fill="F0F4FF" w:val="clear"/>
            <w:tcMar>
              <w:top w:type="dxa" w:w="120"/>
              <w:left w:type="dxa" w:w="200"/>
              <w:bottom w:type="dxa" w:w="120"/>
              <w:right w:type="dxa" w:w="200"/>
            </w:tcMar>
          </w:tcPr>
          <w:p>
            <w:pPr>
              <w:spacing w:after="0"/>
            </w:pPr>
            <w:r>
              <w:rPr>
                <w:rFonts w:ascii="Inter" w:cs="Inter" w:eastAsia="Inter" w:hAnsi="Inter"/>
                <w:i/>
                <w:iCs/>
                <w:color w:val="2563EB"/>
                <w:sz w:val="21"/>
                <w:szCs w:val="21"/>
              </w:rPr>
              <w:t xml:space="preserve">Ce qui nous définit : Consulting + Outils + Formation. Trois piliers indissociables qui font de PAYX un partenaire opérationnel, pas un simple prestataire intellectuel.</w:t>
            </w:r>
          </w:p>
        </w:tc>
      </w:tr>
    </w:tbl>
    <w:p>
      <w:pPr>
        <w:spacing w:after="200"/>
      </w:pPr>
    </w:p>
    <w:p>
      <w:pPr>
        <w:pStyle w:val="Heading1"/>
        <w:pBdr>
          <w:bottom w:val="single" w:color="2563EB" w:sz="2" w:space="8"/>
        </w:pBdr>
        <w:spacing w:after="200" w:before="400"/>
      </w:pPr>
      <w:r>
        <w:rPr>
          <w:rFonts w:ascii="Inter" w:cs="Inter" w:eastAsia="Inter" w:hAnsi="Inter"/>
          <w:b/>
          <w:bCs/>
          <w:color w:val="1A1A2E"/>
          <w:sz w:val="28"/>
          <w:szCs w:val="28"/>
        </w:rPr>
        <w:t xml:space="preserve">2. ANALYSE DU MARCHÉ</w:t>
      </w:r>
    </w:p>
    <w:p>
      <w:pPr>
        <w:pStyle w:val="Heading2"/>
        <w:spacing w:after="150" w:before="300"/>
      </w:pPr>
      <w:r>
        <w:rPr>
          <w:rFonts w:ascii="Inter" w:cs="Inter" w:eastAsia="Inter" w:hAnsi="Inter"/>
          <w:b/>
          <w:bCs/>
          <w:color w:val="2563EB"/>
          <w:sz w:val="24"/>
          <w:szCs w:val="24"/>
        </w:rPr>
        <w:t xml:space="preserve">Le contexte</w:t>
      </w:r>
    </w:p>
    <w:p>
      <w:pPr>
        <w:spacing w:after="150" w:line="276"/>
        <w:jc w:val="both"/>
      </w:pPr>
      <w:r>
        <w:rPr>
          <w:rFonts w:ascii="Inter" w:cs="Inter" w:eastAsia="Inter" w:hAnsi="Inter"/>
          <w:color w:val="333333"/>
          <w:sz w:val="21"/>
          <w:szCs w:val="21"/>
        </w:rPr>
        <w:t xml:space="preserve">L’Afrique de l’Ouest connaît une explosion du paiement digital. Le Mobile Money a dépassé le système bancaire traditionnel en nombre d’utilisateurs actifs. De nouvelles fintechs émergent chaque mois dans la zone UEMOA. Mais cette croissance rapide génère des besoins criants d’accompagnement que le marché actuel du conseil ne couvre pas adéquatement.</w:t>
      </w:r>
    </w:p>
    <w:p>
      <w:pPr>
        <w:spacing w:after="100"/>
      </w:pPr>
    </w:p>
    <w:p>
      <w:pPr>
        <w:pStyle w:val="Heading2"/>
        <w:spacing w:after="150" w:before="300"/>
      </w:pPr>
      <w:r>
        <w:rPr>
          <w:rFonts w:ascii="Inter" w:cs="Inter" w:eastAsia="Inter" w:hAnsi="Inter"/>
          <w:b/>
          <w:bCs/>
          <w:color w:val="2563EB"/>
          <w:sz w:val="24"/>
          <w:szCs w:val="24"/>
        </w:rPr>
        <w:t xml:space="preserve">Les acteurs en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Catégorie</w:t>
            </w:r>
          </w:p>
        </w:tc>
        <w:tc>
          <w:tcPr>
            <w:tcW w:type="dxa" w:w="326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Forces</w:t>
            </w:r>
          </w:p>
        </w:tc>
        <w:tc>
          <w:tcPr>
            <w:tcW w:type="dxa" w:w="326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Limites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Grands cabinets (Deloitte, McKinsey, Accenture)</w:t>
            </w:r>
          </w:p>
        </w:tc>
        <w:tc>
          <w:tcPr>
            <w:tcW w:type="dxa" w:w="326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Crédibilité internationale, méthodologies éprouvées, accès aux décideurs</w:t>
            </w:r>
          </w:p>
        </w:tc>
        <w:tc>
          <w:tcPr>
            <w:tcW w:type="dxa" w:w="326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Tarifs prohibitifs pour les fintechs, approche généraliste, faible connaissance du terrain local</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333333"/>
                <w:sz w:val="20"/>
                <w:szCs w:val="20"/>
              </w:rPr>
              <w:t xml:space="preserve">Consultants seniors indépendants</w:t>
            </w:r>
          </w:p>
        </w:tc>
        <w:tc>
          <w:tcPr>
            <w:tcW w:type="dxa" w:w="326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Expérience terrain profonde, réseau décisionnel, légitimité technique</w:t>
            </w:r>
          </w:p>
        </w:tc>
        <w:tc>
          <w:tcPr>
            <w:tcW w:type="dxa" w:w="326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Pas d’outils livrés, approche artisanale, disponibilité limitée, pas de capitalisation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Structures internes (banques, opérateurs)</w:t>
            </w:r>
          </w:p>
        </w:tc>
        <w:tc>
          <w:tcPr>
            <w:tcW w:type="dxa" w:w="326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Connaissance fine des processus internes</w:t>
            </w:r>
          </w:p>
        </w:tc>
        <w:tc>
          <w:tcPr>
            <w:tcW w:type="dxa" w:w="326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Vision silotée, pas de benchmark externe, résistance au changement</w:t>
            </w:r>
          </w:p>
        </w:tc>
      </w:tr>
    </w:tbl>
    <w:p>
      <w:pPr>
        <w:spacing w:after="200"/>
      </w:pPr>
    </w:p>
    <w:p>
      <w:pPr>
        <w:pStyle w:val="Heading2"/>
        <w:spacing w:after="150" w:before="300"/>
      </w:pPr>
      <w:r>
        <w:rPr>
          <w:rFonts w:ascii="Inter" w:cs="Inter" w:eastAsia="Inter" w:hAnsi="Inter"/>
          <w:b/>
          <w:bCs/>
          <w:color w:val="2563EB"/>
          <w:sz w:val="24"/>
          <w:szCs w:val="24"/>
        </w:rPr>
        <w:t xml:space="preserve">Le trou dans le marché</w:t>
      </w:r>
    </w:p>
    <w:p>
      <w:pPr>
        <w:spacing w:after="150" w:line="276"/>
        <w:jc w:val="both"/>
      </w:pPr>
      <w:r>
        <w:rPr>
          <w:rFonts w:ascii="Inter" w:cs="Inter" w:eastAsia="Inter" w:hAnsi="Inter"/>
          <w:color w:val="333333"/>
          <w:sz w:val="21"/>
          <w:szCs w:val="21"/>
        </w:rPr>
        <w:t xml:space="preserve">Aucun acteur ne propose aujourd’hui de combinaison consulting + outils opérationnels + formation ciblant spécifiquement les fintechs et acteurs du paiement digital en Afrique francophone. C’est l’espace que PAYX occupe.</w:t>
      </w:r>
    </w:p>
    <w:p>
      <w:pPr>
        <w:spacing w:after="200"/>
      </w:pPr>
    </w:p>
    <w:p>
      <w:r>
        <w:br w:type="page"/>
      </w:r>
    </w:p>
    <w:p>
      <w:pPr>
        <w:pStyle w:val="Heading1"/>
        <w:pBdr>
          <w:bottom w:val="single" w:color="2563EB" w:sz="2" w:space="8"/>
        </w:pBdr>
        <w:spacing w:after="200" w:before="400"/>
      </w:pPr>
      <w:r>
        <w:rPr>
          <w:rFonts w:ascii="Inter" w:cs="Inter" w:eastAsia="Inter" w:hAnsi="Inter"/>
          <w:b/>
          <w:bCs/>
          <w:color w:val="1A1A2E"/>
          <w:sz w:val="28"/>
          <w:szCs w:val="28"/>
        </w:rPr>
        <w:t xml:space="preserve">3. POSITIONNEMENT</w:t>
      </w:r>
    </w:p>
    <w:p>
      <w:pPr>
        <w:pStyle w:val="Heading2"/>
        <w:spacing w:after="150" w:before="300"/>
      </w:pPr>
      <w:r>
        <w:rPr>
          <w:rFonts w:ascii="Inter" w:cs="Inter" w:eastAsia="Inter" w:hAnsi="Inter"/>
          <w:b/>
          <w:bCs/>
          <w:color w:val="2563EB"/>
          <w:sz w:val="24"/>
          <w:szCs w:val="24"/>
        </w:rPr>
        <w:t xml:space="preserve">Promesse de marque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563EB" w:sz="6"/>
              <w:bottom w:val="none" w:sz="0"/>
              <w:right w:val="none" w:sz="0"/>
            </w:tcBorders>
            <w:shd w:fill="F0F4FF" w:val="clear"/>
            <w:tcMar>
              <w:top w:type="dxa" w:w="120"/>
              <w:left w:type="dxa" w:w="200"/>
              <w:bottom w:type="dxa" w:w="120"/>
              <w:right w:type="dxa" w:w="200"/>
            </w:tcMar>
          </w:tcPr>
          <w:p>
            <w:pPr>
              <w:spacing w:after="0"/>
            </w:pPr>
            <w:r>
              <w:rPr>
                <w:rFonts w:ascii="Inter" w:cs="Inter" w:eastAsia="Inter" w:hAnsi="Inter"/>
                <w:i/>
                <w:iCs/>
                <w:color w:val="2563EB"/>
                <w:sz w:val="21"/>
                <w:szCs w:val="21"/>
              </w:rPr>
              <w:t xml:space="preserve">PAYX — Le partenaire opérationnel des fintechs et acteurs du paiement digital en Afrique francophone. Consulting + Outils + Formation.</w:t>
            </w:r>
          </w:p>
        </w:tc>
      </w:tr>
    </w:tbl>
    <w:p>
      <w:pPr>
        <w:spacing w:after="200"/>
      </w:pPr>
    </w:p>
    <w:p>
      <w:pPr>
        <w:pStyle w:val="Heading2"/>
        <w:spacing w:after="150" w:before="300"/>
      </w:pPr>
      <w:r>
        <w:rPr>
          <w:rFonts w:ascii="Inter" w:cs="Inter" w:eastAsia="Inter" w:hAnsi="Inter"/>
          <w:b/>
          <w:bCs/>
          <w:color w:val="2563EB"/>
          <w:sz w:val="24"/>
          <w:szCs w:val="24"/>
        </w:rPr>
        <w:t xml:space="preserve">Les 3 différenciateurs</w:t>
      </w:r>
    </w:p>
    <w:p>
      <w:pPr>
        <w:spacing w:after="50"/>
      </w:pPr>
    </w:p>
    <w:p>
      <w:pPr>
        <w:spacing w:after="150" w:line="276"/>
        <w:jc w:val="both"/>
      </w:pPr>
      <w:r>
        <w:rPr>
          <w:rFonts w:ascii="Inter" w:cs="Inter" w:eastAsia="Inter" w:hAnsi="Inter"/>
          <w:b/>
          <w:bCs/>
          <w:color w:val="1A1A2E"/>
          <w:sz w:val="21"/>
          <w:szCs w:val="21"/>
        </w:rPr>
        <w:t xml:space="preserve">1. L’approche outillée — </w:t>
      </w:r>
      <w:r>
        <w:rPr>
          <w:rFonts w:ascii="Inter" w:cs="Inter" w:eastAsia="Inter" w:hAnsi="Inter"/>
          <w:color w:val="333333"/>
          <w:sz w:val="21"/>
          <w:szCs w:val="21"/>
        </w:rPr>
        <w:t xml:space="preserve">Là où les consultants traditionnels livrent des rapports, PAYX livre des rapports ET des outils que le client garde et utilise après la mission. Simulateurs de rentabilité, dashboards de réconciliation, outils de benchmark, matrices de conformité — chaque mission produit un actif tangible.</w:t>
      </w:r>
    </w:p>
    <w:p>
      <w:pPr>
        <w:spacing w:after="50"/>
      </w:pPr>
    </w:p>
    <w:p>
      <w:pPr>
        <w:spacing w:after="150" w:line="276"/>
        <w:jc w:val="both"/>
      </w:pPr>
      <w:r>
        <w:rPr>
          <w:rFonts w:ascii="Inter" w:cs="Inter" w:eastAsia="Inter" w:hAnsi="Inter"/>
          <w:b/>
          <w:bCs/>
          <w:color w:val="1A1A2E"/>
          <w:sz w:val="21"/>
          <w:szCs w:val="21"/>
        </w:rPr>
        <w:t xml:space="preserve">2. La vulgarisation experte — </w:t>
      </w:r>
      <w:r>
        <w:rPr>
          <w:rFonts w:ascii="Inter" w:cs="Inter" w:eastAsia="Inter" w:hAnsi="Inter"/>
          <w:color w:val="333333"/>
          <w:sz w:val="21"/>
          <w:szCs w:val="21"/>
        </w:rPr>
        <w:t xml:space="preserve">La monétique est un domaine où le jargon crée une barrière d’entrée artificielle. PAYX traduit la complexité technique (ISO 8583, EMV, PCI DSS, flux de réconciliation) en décisions business compréhensibles. Cette capacité de vulgarisation est un avantage compétitif face aux experts seniors qui ont oublié ce que c’est de ne pas comprendre.</w:t>
      </w:r>
    </w:p>
    <w:p>
      <w:pPr>
        <w:spacing w:after="50"/>
      </w:pPr>
    </w:p>
    <w:p>
      <w:pPr>
        <w:spacing w:after="150" w:line="276"/>
        <w:jc w:val="both"/>
      </w:pPr>
      <w:r>
        <w:rPr>
          <w:rFonts w:ascii="Inter" w:cs="Inter" w:eastAsia="Inter" w:hAnsi="Inter"/>
          <w:b/>
          <w:bCs/>
          <w:color w:val="1A1A2E"/>
          <w:sz w:val="21"/>
          <w:szCs w:val="21"/>
        </w:rPr>
        <w:t xml:space="preserve">3. La spécialisation fintech &amp; Mobile Money — </w:t>
      </w:r>
      <w:r>
        <w:rPr>
          <w:rFonts w:ascii="Inter" w:cs="Inter" w:eastAsia="Inter" w:hAnsi="Inter"/>
          <w:color w:val="333333"/>
          <w:sz w:val="21"/>
          <w:szCs w:val="21"/>
        </w:rPr>
        <w:t xml:space="preserve">Plutôt que de couvrir tout le spectre bancaire, PAYX se concentre sur l’écosystème en explosion : fintechs, agrégateurs de paiement, programmes Mobile Money, néobanques. Des problématiques spécifiques (interopérabilité Wave/Orange Money/MTN, conformité des agrégateurs, pricing des transferts) que les gros cabinets ne couvrent pas.</w:t>
      </w:r>
    </w:p>
    <w:p>
      <w:pPr>
        <w:spacing w:after="200"/>
      </w:pPr>
    </w:p>
    <w:p>
      <w:pPr>
        <w:pStyle w:val="Heading1"/>
        <w:pBdr>
          <w:bottom w:val="single" w:color="2563EB" w:sz="2" w:space="8"/>
        </w:pBdr>
        <w:spacing w:after="200" w:before="400"/>
      </w:pPr>
      <w:r>
        <w:rPr>
          <w:rFonts w:ascii="Inter" w:cs="Inter" w:eastAsia="Inter" w:hAnsi="Inter"/>
          <w:b/>
          <w:bCs/>
          <w:color w:val="1A1A2E"/>
          <w:sz w:val="28"/>
          <w:szCs w:val="28"/>
        </w:rPr>
        <w:t xml:space="preserve">4. OFFRE DE SERVICES</w:t>
      </w:r>
    </w:p>
    <w:p>
      <w:pPr>
        <w:pStyle w:val="Heading2"/>
        <w:spacing w:after="150" w:before="300"/>
      </w:pPr>
      <w:r>
        <w:rPr>
          <w:rFonts w:ascii="Inter" w:cs="Inter" w:eastAsia="Inter" w:hAnsi="Inter"/>
          <w:b/>
          <w:bCs/>
          <w:color w:val="2563EB"/>
          <w:sz w:val="24"/>
          <w:szCs w:val="24"/>
        </w:rPr>
        <w:t xml:space="preserve">Pilier 1 : Conseil stratégique</w:t>
      </w:r>
    </w:p>
    <w:p>
      <w:pPr>
        <w:spacing w:after="150" w:line="276"/>
        <w:jc w:val="both"/>
      </w:pPr>
      <w:r>
        <w:rPr>
          <w:rFonts w:ascii="Inter" w:cs="Inter" w:eastAsia="Inter" w:hAnsi="Inter"/>
          <w:color w:val="333333"/>
          <w:sz w:val="21"/>
          <w:szCs w:val="21"/>
        </w:rPr>
        <w:t xml:space="preserve">Accompagnement des décideurs dans les choix structurants de leur activité de paiement.</w:t>
      </w:r>
    </w:p>
    <w:p>
      <w:pPr>
        <w:pStyle w:val="ListParagraph"/>
        <w:numPr>
          <w:ilvl w:val="0"/>
          <w:numId w:val="2"/>
        </w:numPr>
        <w:spacing w:after="100" w:line="276"/>
      </w:pPr>
      <w:r>
        <w:rPr>
          <w:rFonts w:ascii="Inter" w:cs="Inter" w:eastAsia="Inter" w:hAnsi="Inter"/>
          <w:color w:val="333333"/>
          <w:sz w:val="21"/>
          <w:szCs w:val="21"/>
        </w:rPr>
        <w:t xml:space="preserve">Analyse de modèle économique d’un écosystème de paiement</w:t>
      </w:r>
    </w:p>
    <w:p>
      <w:pPr>
        <w:pStyle w:val="ListParagraph"/>
        <w:numPr>
          <w:ilvl w:val="0"/>
          <w:numId w:val="2"/>
        </w:numPr>
        <w:spacing w:after="100" w:line="276"/>
      </w:pPr>
      <w:r>
        <w:rPr>
          <w:rFonts w:ascii="Inter" w:cs="Inter" w:eastAsia="Inter" w:hAnsi="Inter"/>
          <w:color w:val="333333"/>
          <w:sz w:val="21"/>
          <w:szCs w:val="21"/>
        </w:rPr>
        <w:t xml:space="preserve">Évaluation et sélection de partenaires (processeurs, émetteurs, réseaux)</w:t>
      </w:r>
    </w:p>
    <w:p>
      <w:pPr>
        <w:pStyle w:val="ListParagraph"/>
        <w:numPr>
          <w:ilvl w:val="0"/>
          <w:numId w:val="2"/>
        </w:numPr>
        <w:spacing w:after="100" w:line="276"/>
      </w:pPr>
      <w:r>
        <w:rPr>
          <w:rFonts w:ascii="Inter" w:cs="Inter" w:eastAsia="Inter" w:hAnsi="Inter"/>
          <w:color w:val="333333"/>
          <w:sz w:val="21"/>
          <w:szCs w:val="21"/>
        </w:rPr>
        <w:t xml:space="preserve">Benchmark concurrentiel et analyse de marché</w:t>
      </w:r>
    </w:p>
    <w:p>
      <w:pPr>
        <w:pStyle w:val="ListParagraph"/>
        <w:numPr>
          <w:ilvl w:val="0"/>
          <w:numId w:val="2"/>
        </w:numPr>
        <w:spacing w:after="100" w:line="276"/>
      </w:pPr>
      <w:r>
        <w:rPr>
          <w:rFonts w:ascii="Inter" w:cs="Inter" w:eastAsia="Inter" w:hAnsi="Inter"/>
          <w:color w:val="333333"/>
          <w:sz w:val="21"/>
          <w:szCs w:val="21"/>
        </w:rPr>
        <w:t xml:space="preserve">Stratégie de lancement de programme de cartes ou de Mobile Money</w:t>
      </w:r>
    </w:p>
    <w:p>
      <w:pPr>
        <w:pStyle w:val="ListParagraph"/>
        <w:numPr>
          <w:ilvl w:val="0"/>
          <w:numId w:val="2"/>
        </w:numPr>
        <w:spacing w:after="100" w:line="276"/>
      </w:pPr>
      <w:r>
        <w:rPr>
          <w:rFonts w:ascii="Inter" w:cs="Inter" w:eastAsia="Inter" w:hAnsi="Inter"/>
          <w:color w:val="333333"/>
          <w:sz w:val="21"/>
          <w:szCs w:val="21"/>
        </w:rPr>
        <w:t xml:space="preserve">Modélisation de rentabilité d’un programme de paiement</w:t>
      </w:r>
    </w:p>
    <w:p>
      <w:pPr>
        <w:spacing w:after="100"/>
      </w:pPr>
    </w:p>
    <w:p>
      <w:pPr>
        <w:pStyle w:val="Heading2"/>
        <w:spacing w:after="150" w:before="300"/>
      </w:pPr>
      <w:r>
        <w:rPr>
          <w:rFonts w:ascii="Inter" w:cs="Inter" w:eastAsia="Inter" w:hAnsi="Inter"/>
          <w:b/>
          <w:bCs/>
          <w:color w:val="2563EB"/>
          <w:sz w:val="24"/>
          <w:szCs w:val="24"/>
        </w:rPr>
        <w:t xml:space="preserve">Pilier 2 : Accompagnement opérationnel</w:t>
      </w:r>
    </w:p>
    <w:p>
      <w:pPr>
        <w:spacing w:after="150" w:line="276"/>
        <w:jc w:val="both"/>
      </w:pPr>
      <w:r>
        <w:rPr>
          <w:rFonts w:ascii="Inter" w:cs="Inter" w:eastAsia="Inter" w:hAnsi="Inter"/>
          <w:color w:val="333333"/>
          <w:sz w:val="21"/>
          <w:szCs w:val="21"/>
        </w:rPr>
        <w:t xml:space="preserve">Intervention sur les problématiques concrètes du quotidien opérationnel.</w:t>
      </w:r>
    </w:p>
    <w:p>
      <w:pPr>
        <w:pStyle w:val="ListParagraph"/>
        <w:numPr>
          <w:ilvl w:val="0"/>
          <w:numId w:val="2"/>
        </w:numPr>
        <w:spacing w:after="100" w:line="276"/>
      </w:pPr>
      <w:r>
        <w:rPr>
          <w:rFonts w:ascii="Inter" w:cs="Inter" w:eastAsia="Inter" w:hAnsi="Inter"/>
          <w:color w:val="333333"/>
          <w:sz w:val="21"/>
          <w:szCs w:val="21"/>
        </w:rPr>
        <w:t xml:space="preserve">Mise en place et optimisation des processus de réconciliation</w:t>
      </w:r>
    </w:p>
    <w:p>
      <w:pPr>
        <w:pStyle w:val="ListParagraph"/>
        <w:numPr>
          <w:ilvl w:val="0"/>
          <w:numId w:val="2"/>
        </w:numPr>
        <w:spacing w:after="100" w:line="276"/>
      </w:pPr>
      <w:r>
        <w:rPr>
          <w:rFonts w:ascii="Inter" w:cs="Inter" w:eastAsia="Inter" w:hAnsi="Inter"/>
          <w:color w:val="333333"/>
          <w:sz w:val="21"/>
          <w:szCs w:val="21"/>
        </w:rPr>
        <w:t xml:space="preserve">Diagnostic et résolution des échecs de transactions</w:t>
      </w:r>
    </w:p>
    <w:p>
      <w:pPr>
        <w:pStyle w:val="ListParagraph"/>
        <w:numPr>
          <w:ilvl w:val="0"/>
          <w:numId w:val="2"/>
        </w:numPr>
        <w:spacing w:after="100" w:line="276"/>
      </w:pPr>
      <w:r>
        <w:rPr>
          <w:rFonts w:ascii="Inter" w:cs="Inter" w:eastAsia="Inter" w:hAnsi="Inter"/>
          <w:color w:val="333333"/>
          <w:sz w:val="21"/>
          <w:szCs w:val="21"/>
        </w:rPr>
        <w:t xml:space="preserve">Structuration du traitement des réclamations clients</w:t>
      </w:r>
    </w:p>
    <w:p>
      <w:pPr>
        <w:pStyle w:val="ListParagraph"/>
        <w:numPr>
          <w:ilvl w:val="0"/>
          <w:numId w:val="2"/>
        </w:numPr>
        <w:spacing w:after="100" w:line="276"/>
      </w:pPr>
      <w:r>
        <w:rPr>
          <w:rFonts w:ascii="Inter" w:cs="Inter" w:eastAsia="Inter" w:hAnsi="Inter"/>
          <w:color w:val="333333"/>
          <w:sz w:val="21"/>
          <w:szCs w:val="21"/>
        </w:rPr>
        <w:t xml:space="preserve">Comptabilité monétique et rapprochement financier</w:t>
      </w:r>
    </w:p>
    <w:p>
      <w:pPr>
        <w:pStyle w:val="ListParagraph"/>
        <w:numPr>
          <w:ilvl w:val="0"/>
          <w:numId w:val="2"/>
        </w:numPr>
        <w:spacing w:after="100" w:line="276"/>
      </w:pPr>
      <w:r>
        <w:rPr>
          <w:rFonts w:ascii="Inter" w:cs="Inter" w:eastAsia="Inter" w:hAnsi="Inter"/>
          <w:color w:val="333333"/>
          <w:sz w:val="21"/>
          <w:szCs w:val="21"/>
        </w:rPr>
        <w:t xml:space="preserve">Audit de performance transactionnelle</w:t>
      </w:r>
    </w:p>
    <w:p>
      <w:pPr>
        <w:spacing w:after="100"/>
      </w:pPr>
    </w:p>
    <w:p>
      <w:pPr>
        <w:pStyle w:val="Heading2"/>
        <w:spacing w:after="150" w:before="300"/>
      </w:pPr>
      <w:r>
        <w:rPr>
          <w:rFonts w:ascii="Inter" w:cs="Inter" w:eastAsia="Inter" w:hAnsi="Inter"/>
          <w:b/>
          <w:bCs/>
          <w:color w:val="2563EB"/>
          <w:sz w:val="24"/>
          <w:szCs w:val="24"/>
        </w:rPr>
        <w:t xml:space="preserve">Pilier 3 : Conformité &amp; Normes</w:t>
      </w:r>
    </w:p>
    <w:p>
      <w:pPr>
        <w:spacing w:after="150" w:line="276"/>
        <w:jc w:val="both"/>
      </w:pPr>
      <w:r>
        <w:rPr>
          <w:rFonts w:ascii="Inter" w:cs="Inter" w:eastAsia="Inter" w:hAnsi="Inter"/>
          <w:color w:val="333333"/>
          <w:sz w:val="21"/>
          <w:szCs w:val="21"/>
        </w:rPr>
        <w:t xml:space="preserve">Accompagnement vers la conformité réglementaire et normative du secteur.</w:t>
      </w:r>
    </w:p>
    <w:p>
      <w:pPr>
        <w:pStyle w:val="ListParagraph"/>
        <w:numPr>
          <w:ilvl w:val="0"/>
          <w:numId w:val="2"/>
        </w:numPr>
        <w:spacing w:after="100" w:line="276"/>
      </w:pPr>
      <w:r>
        <w:rPr>
          <w:rFonts w:ascii="Inter" w:cs="Inter" w:eastAsia="Inter" w:hAnsi="Inter"/>
          <w:color w:val="333333"/>
          <w:sz w:val="21"/>
          <w:szCs w:val="21"/>
        </w:rPr>
        <w:t xml:space="preserve">Préparation à la certification PCI DSS</w:t>
      </w:r>
    </w:p>
    <w:p>
      <w:pPr>
        <w:pStyle w:val="ListParagraph"/>
        <w:numPr>
          <w:ilvl w:val="0"/>
          <w:numId w:val="2"/>
        </w:numPr>
        <w:spacing w:after="100" w:line="276"/>
      </w:pPr>
      <w:r>
        <w:rPr>
          <w:rFonts w:ascii="Inter" w:cs="Inter" w:eastAsia="Inter" w:hAnsi="Inter"/>
          <w:color w:val="333333"/>
          <w:sz w:val="21"/>
          <w:szCs w:val="21"/>
        </w:rPr>
        <w:t xml:space="preserve">Conformité aux normes EMV et 3D Secure</w:t>
      </w:r>
    </w:p>
    <w:p>
      <w:pPr>
        <w:pStyle w:val="ListParagraph"/>
        <w:numPr>
          <w:ilvl w:val="0"/>
          <w:numId w:val="2"/>
        </w:numPr>
        <w:spacing w:after="100" w:line="276"/>
      </w:pPr>
      <w:r>
        <w:rPr>
          <w:rFonts w:ascii="Inter" w:cs="Inter" w:eastAsia="Inter" w:hAnsi="Inter"/>
          <w:color w:val="333333"/>
          <w:sz w:val="21"/>
          <w:szCs w:val="21"/>
        </w:rPr>
        <w:t xml:space="preserve">Alignement avec les exigences GIM-UEMOA</w:t>
      </w:r>
    </w:p>
    <w:p>
      <w:pPr>
        <w:pStyle w:val="ListParagraph"/>
        <w:numPr>
          <w:ilvl w:val="0"/>
          <w:numId w:val="2"/>
        </w:numPr>
        <w:spacing w:after="100" w:line="276"/>
      </w:pPr>
      <w:r>
        <w:rPr>
          <w:rFonts w:ascii="Inter" w:cs="Inter" w:eastAsia="Inter" w:hAnsi="Inter"/>
          <w:color w:val="333333"/>
          <w:sz w:val="21"/>
          <w:szCs w:val="21"/>
        </w:rPr>
        <w:t xml:space="preserve">Mise en conformité DSP2 et RGPD</w:t>
      </w:r>
    </w:p>
    <w:p>
      <w:pPr>
        <w:pStyle w:val="ListParagraph"/>
        <w:numPr>
          <w:ilvl w:val="0"/>
          <w:numId w:val="2"/>
        </w:numPr>
        <w:spacing w:after="100" w:line="276"/>
      </w:pPr>
      <w:r>
        <w:rPr>
          <w:rFonts w:ascii="Inter" w:cs="Inter" w:eastAsia="Inter" w:hAnsi="Inter"/>
          <w:color w:val="333333"/>
          <w:sz w:val="21"/>
          <w:szCs w:val="21"/>
        </w:rPr>
        <w:t xml:space="preserve">Accompagnement aux audits réglementaires</w:t>
      </w:r>
    </w:p>
    <w:p>
      <w:pPr>
        <w:spacing w:after="100"/>
      </w:pPr>
    </w:p>
    <w:p>
      <w:pPr>
        <w:pStyle w:val="Heading2"/>
        <w:spacing w:after="150" w:before="300"/>
      </w:pPr>
      <w:r>
        <w:rPr>
          <w:rFonts w:ascii="Inter" w:cs="Inter" w:eastAsia="Inter" w:hAnsi="Inter"/>
          <w:b/>
          <w:bCs/>
          <w:color w:val="2563EB"/>
          <w:sz w:val="24"/>
          <w:szCs w:val="24"/>
        </w:rPr>
        <w:t xml:space="preserve">Pilier 4 : Formation &amp; Montée en compétences</w:t>
      </w:r>
    </w:p>
    <w:p>
      <w:pPr>
        <w:spacing w:after="150" w:line="276"/>
        <w:jc w:val="both"/>
      </w:pPr>
      <w:r>
        <w:rPr>
          <w:rFonts w:ascii="Inter" w:cs="Inter" w:eastAsia="Inter" w:hAnsi="Inter"/>
          <w:color w:val="333333"/>
          <w:sz w:val="21"/>
          <w:szCs w:val="21"/>
        </w:rPr>
        <w:t xml:space="preserve">Programmes de formation sur mesure pour les équipes techniques et business.</w:t>
      </w:r>
    </w:p>
    <w:p>
      <w:pPr>
        <w:pStyle w:val="ListParagraph"/>
        <w:numPr>
          <w:ilvl w:val="0"/>
          <w:numId w:val="2"/>
        </w:numPr>
        <w:spacing w:after="100" w:line="276"/>
      </w:pPr>
      <w:r>
        <w:rPr>
          <w:rFonts w:ascii="Inter" w:cs="Inter" w:eastAsia="Inter" w:hAnsi="Inter"/>
          <w:color w:val="333333"/>
          <w:sz w:val="21"/>
          <w:szCs w:val="21"/>
        </w:rPr>
        <w:t xml:space="preserve">Fondamentaux de la monétique (pour équipes non-techniques)</w:t>
      </w:r>
    </w:p>
    <w:p>
      <w:pPr>
        <w:pStyle w:val="ListParagraph"/>
        <w:numPr>
          <w:ilvl w:val="0"/>
          <w:numId w:val="2"/>
        </w:numPr>
        <w:spacing w:after="100" w:line="276"/>
      </w:pPr>
      <w:r>
        <w:rPr>
          <w:rFonts w:ascii="Inter" w:cs="Inter" w:eastAsia="Inter" w:hAnsi="Inter"/>
          <w:color w:val="333333"/>
          <w:sz w:val="21"/>
          <w:szCs w:val="21"/>
        </w:rPr>
        <w:t xml:space="preserve">Maîtrise des normes ISO 8583, SWIFT, EMV</w:t>
      </w:r>
    </w:p>
    <w:p>
      <w:pPr>
        <w:pStyle w:val="ListParagraph"/>
        <w:numPr>
          <w:ilvl w:val="0"/>
          <w:numId w:val="2"/>
        </w:numPr>
        <w:spacing w:after="100" w:line="276"/>
      </w:pPr>
      <w:r>
        <w:rPr>
          <w:rFonts w:ascii="Inter" w:cs="Inter" w:eastAsia="Inter" w:hAnsi="Inter"/>
          <w:color w:val="333333"/>
          <w:sz w:val="21"/>
          <w:szCs w:val="21"/>
        </w:rPr>
        <w:t xml:space="preserve">Réconciliation et comptabilité monétique (atelier pratique)</w:t>
      </w:r>
    </w:p>
    <w:p>
      <w:pPr>
        <w:pStyle w:val="ListParagraph"/>
        <w:numPr>
          <w:ilvl w:val="0"/>
          <w:numId w:val="2"/>
        </w:numPr>
        <w:spacing w:after="100" w:line="276"/>
      </w:pPr>
      <w:r>
        <w:rPr>
          <w:rFonts w:ascii="Inter" w:cs="Inter" w:eastAsia="Inter" w:hAnsi="Inter"/>
          <w:color w:val="333333"/>
          <w:sz w:val="21"/>
          <w:szCs w:val="21"/>
        </w:rPr>
        <w:t xml:space="preserve">Sécurité des paiements et PCI DSS (sensibilisation et mise en œuvre)</w:t>
      </w:r>
    </w:p>
    <w:p>
      <w:pPr>
        <w:pStyle w:val="ListParagraph"/>
        <w:numPr>
          <w:ilvl w:val="0"/>
          <w:numId w:val="2"/>
        </w:numPr>
        <w:spacing w:after="100" w:line="276"/>
      </w:pPr>
      <w:r>
        <w:rPr>
          <w:rFonts w:ascii="Inter" w:cs="Inter" w:eastAsia="Inter" w:hAnsi="Inter"/>
          <w:color w:val="333333"/>
          <w:sz w:val="21"/>
          <w:szCs w:val="21"/>
        </w:rPr>
        <w:t xml:space="preserve">Bootcamp monétique pour startups fintech</w:t>
      </w:r>
    </w:p>
    <w:p>
      <w:pPr>
        <w:spacing w:after="100"/>
      </w:pPr>
    </w:p>
    <w:p>
      <w:pPr>
        <w:pStyle w:val="Heading2"/>
        <w:spacing w:after="150" w:before="300"/>
      </w:pPr>
      <w:r>
        <w:rPr>
          <w:rFonts w:ascii="Inter" w:cs="Inter" w:eastAsia="Inter" w:hAnsi="Inter"/>
          <w:b/>
          <w:bCs/>
          <w:color w:val="2563EB"/>
          <w:sz w:val="24"/>
          <w:szCs w:val="24"/>
        </w:rPr>
        <w:t xml:space="preserve">Pilier 5 : Outils &amp; Solutions digitales</w:t>
      </w:r>
    </w:p>
    <w:p>
      <w:pPr>
        <w:spacing w:after="150" w:line="276"/>
        <w:jc w:val="both"/>
      </w:pPr>
      <w:r>
        <w:rPr>
          <w:rFonts w:ascii="Inter" w:cs="Inter" w:eastAsia="Inter" w:hAnsi="Inter"/>
          <w:color w:val="333333"/>
          <w:sz w:val="21"/>
          <w:szCs w:val="21"/>
        </w:rPr>
        <w:t xml:space="preserve">Accès à une suite d’outils propriétaires développés par PAYX, utilisables en autonomie ou en complément d’une mission de conseil.</w:t>
      </w:r>
    </w:p>
    <w:p>
      <w:pPr>
        <w:pStyle w:val="ListParagraph"/>
        <w:numPr>
          <w:ilvl w:val="0"/>
          <w:numId w:val="2"/>
        </w:numPr>
        <w:spacing w:after="100" w:line="276"/>
      </w:pPr>
      <w:r>
        <w:rPr>
          <w:rFonts w:ascii="Inter" w:cs="Inter" w:eastAsia="Inter" w:hAnsi="Inter"/>
          <w:color w:val="333333"/>
          <w:sz w:val="21"/>
          <w:szCs w:val="21"/>
        </w:rPr>
        <w:t xml:space="preserve">Simulateur de rentabilité de programme carte</w:t>
      </w:r>
    </w:p>
    <w:p>
      <w:pPr>
        <w:pStyle w:val="ListParagraph"/>
        <w:numPr>
          <w:ilvl w:val="0"/>
          <w:numId w:val="2"/>
        </w:numPr>
        <w:spacing w:after="100" w:line="276"/>
      </w:pPr>
      <w:r>
        <w:rPr>
          <w:rFonts w:ascii="Inter" w:cs="Inter" w:eastAsia="Inter" w:hAnsi="Inter"/>
          <w:color w:val="333333"/>
          <w:sz w:val="21"/>
          <w:szCs w:val="21"/>
        </w:rPr>
        <w:t xml:space="preserve">Outil de benchmark des frais Mobile Money (May)</w:t>
      </w:r>
    </w:p>
    <w:p>
      <w:pPr>
        <w:pStyle w:val="ListParagraph"/>
        <w:numPr>
          <w:ilvl w:val="0"/>
          <w:numId w:val="2"/>
        </w:numPr>
        <w:spacing w:after="100" w:line="276"/>
      </w:pPr>
      <w:r>
        <w:rPr>
          <w:rFonts w:ascii="Inter" w:cs="Inter" w:eastAsia="Inter" w:hAnsi="Inter"/>
          <w:color w:val="333333"/>
          <w:sz w:val="21"/>
          <w:szCs w:val="21"/>
        </w:rPr>
        <w:t xml:space="preserve">Dashboard de suivi de réconciliation</w:t>
      </w:r>
    </w:p>
    <w:p>
      <w:pPr>
        <w:pStyle w:val="ListParagraph"/>
        <w:numPr>
          <w:ilvl w:val="0"/>
          <w:numId w:val="2"/>
        </w:numPr>
        <w:spacing w:after="100" w:line="276"/>
      </w:pPr>
      <w:r>
        <w:rPr>
          <w:rFonts w:ascii="Inter" w:cs="Inter" w:eastAsia="Inter" w:hAnsi="Inter"/>
          <w:color w:val="333333"/>
          <w:sz w:val="21"/>
          <w:szCs w:val="21"/>
        </w:rPr>
        <w:t xml:space="preserve">Matrice de conformité PCI DSS (auto-évaluation)</w:t>
      </w:r>
    </w:p>
    <w:p>
      <w:pPr>
        <w:pStyle w:val="ListParagraph"/>
        <w:numPr>
          <w:ilvl w:val="0"/>
          <w:numId w:val="2"/>
        </w:numPr>
        <w:spacing w:after="100" w:line="276"/>
      </w:pPr>
      <w:r>
        <w:rPr>
          <w:rFonts w:ascii="Inter" w:cs="Inter" w:eastAsia="Inter" w:hAnsi="Inter"/>
          <w:color w:val="333333"/>
          <w:sz w:val="21"/>
          <w:szCs w:val="21"/>
        </w:rPr>
        <w:t xml:space="preserve">Plateforme éducative Nexoria (normes et standards financiers)</w:t>
      </w:r>
    </w:p>
    <w:p>
      <w:pPr>
        <w:spacing w:after="200"/>
      </w:pPr>
    </w:p>
    <w:p>
      <w:r>
        <w:br w:type="page"/>
      </w:r>
    </w:p>
    <w:p>
      <w:pPr>
        <w:pStyle w:val="Heading1"/>
        <w:pBdr>
          <w:bottom w:val="single" w:color="2563EB" w:sz="2" w:space="8"/>
        </w:pBdr>
        <w:spacing w:after="200" w:before="400"/>
      </w:pPr>
      <w:r>
        <w:rPr>
          <w:rFonts w:ascii="Inter" w:cs="Inter" w:eastAsia="Inter" w:hAnsi="Inter"/>
          <w:b/>
          <w:bCs/>
          <w:color w:val="1A1A2E"/>
          <w:sz w:val="28"/>
          <w:szCs w:val="28"/>
        </w:rPr>
        <w:t xml:space="preserve">5. SEGMENTS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13"/>
        <w:gridCol w:w="2213"/>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Segment</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Besoins prioritaires</w:t>
            </w:r>
          </w:p>
        </w:tc>
        <w:tc>
          <w:tcPr>
            <w:tcW w:type="dxa" w:w="221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Offre PAYX adaptée</w:t>
            </w:r>
          </w:p>
        </w:tc>
        <w:tc>
          <w:tcPr>
            <w:tcW w:type="dxa" w:w="221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Modèle de revenus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Fintechs &amp; startups de paiement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Structurer leur modèle, choisir les bons partenaires, se mettre en conformité</w:t>
            </w:r>
          </w:p>
        </w:tc>
        <w:tc>
          <w:tcPr>
            <w:tcW w:type="dxa" w:w="22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Conseil stratégique + conformité + outils de pilotage</w:t>
            </w:r>
          </w:p>
        </w:tc>
        <w:tc>
          <w:tcPr>
            <w:tcW w:type="dxa" w:w="22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Mission forfaitaire + abonnement outils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333333"/>
                <w:sz w:val="20"/>
                <w:szCs w:val="20"/>
              </w:rPr>
              <w:t xml:space="preserve">PME intégrant le paiement digital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Comprendre l’écosystème, choisir le bon PSP, gérer les réconciliations</w:t>
            </w:r>
          </w:p>
        </w:tc>
        <w:tc>
          <w:tcPr>
            <w:tcW w:type="dxa" w:w="22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Formation + accompagnement opérationnel</w:t>
            </w:r>
          </w:p>
        </w:tc>
        <w:tc>
          <w:tcPr>
            <w:tcW w:type="dxa" w:w="22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Formation payante + mission ponctuelle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Banques &amp; établissements financiers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Moderniser les processus, former les équipes, préparer les audits</w:t>
            </w:r>
          </w:p>
        </w:tc>
        <w:tc>
          <w:tcPr>
            <w:tcW w:type="dxa" w:w="22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Audit + formation + mise en conformité</w:t>
            </w:r>
          </w:p>
        </w:tc>
        <w:tc>
          <w:tcPr>
            <w:tcW w:type="dxa" w:w="22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Contrat cadre annuel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333333"/>
                <w:sz w:val="20"/>
                <w:szCs w:val="20"/>
              </w:rPr>
              <w:t xml:space="preserve">Agrégateurs &amp; PSP (CinetPay, FedaPay...)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Optimiser les taux de succès, benchmark, conformité</w:t>
            </w:r>
          </w:p>
        </w:tc>
        <w:tc>
          <w:tcPr>
            <w:tcW w:type="dxa" w:w="22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Conseil stratégique + outils de monitoring</w:t>
            </w:r>
          </w:p>
        </w:tc>
        <w:tc>
          <w:tcPr>
            <w:tcW w:type="dxa" w:w="22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Mission + licence outil</w:t>
            </w:r>
          </w:p>
        </w:tc>
      </w:tr>
    </w:tbl>
    <w:p>
      <w:pPr>
        <w:spacing w:after="200"/>
      </w:pPr>
    </w:p>
    <w:p>
      <w:pPr>
        <w:pStyle w:val="Heading2"/>
        <w:spacing w:after="150" w:before="300"/>
      </w:pPr>
      <w:r>
        <w:rPr>
          <w:rFonts w:ascii="Inter" w:cs="Inter" w:eastAsia="Inter" w:hAnsi="Inter"/>
          <w:b/>
          <w:bCs/>
          <w:color w:val="2563EB"/>
          <w:sz w:val="24"/>
          <w:szCs w:val="24"/>
        </w:rPr>
        <w:t xml:space="preserve">Périmètre géographique</w:t>
      </w:r>
    </w:p>
    <w:p>
      <w:pPr>
        <w:spacing w:after="150" w:line="276"/>
        <w:jc w:val="both"/>
      </w:pPr>
      <w:r>
        <w:rPr>
          <w:rFonts w:ascii="Inter" w:cs="Inter" w:eastAsia="Inter" w:hAnsi="Inter"/>
          <w:color w:val="333333"/>
          <w:sz w:val="21"/>
          <w:szCs w:val="21"/>
        </w:rPr>
        <w:t xml:space="preserve">PAYX opère depuis Abidjan avec une couverture pan-africaine francophone en remote. Les marchés prioritaires sont la zone UEMOA (8 pays), puis l’Afrique centrale (CEMAC), avec une extension naturelle vers les marchés anglophones à moyen terme.</w:t>
      </w:r>
    </w:p>
    <w:p>
      <w:pPr>
        <w:spacing w:after="200"/>
      </w:pPr>
    </w:p>
    <w:p>
      <w:pPr>
        <w:pStyle w:val="Heading1"/>
        <w:pBdr>
          <w:bottom w:val="single" w:color="2563EB" w:sz="2" w:space="8"/>
        </w:pBdr>
        <w:spacing w:after="200" w:before="400"/>
      </w:pPr>
      <w:r>
        <w:rPr>
          <w:rFonts w:ascii="Inter" w:cs="Inter" w:eastAsia="Inter" w:hAnsi="Inter"/>
          <w:b/>
          <w:bCs/>
          <w:color w:val="1A1A2E"/>
          <w:sz w:val="28"/>
          <w:szCs w:val="28"/>
        </w:rPr>
        <w:t xml:space="preserve">6. MODÈLE DE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13"/>
        <w:gridCol w:w="2213"/>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Source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Description</w:t>
            </w:r>
          </w:p>
        </w:tc>
        <w:tc>
          <w:tcPr>
            <w:tcW w:type="dxa" w:w="231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Tarification indicative</w:t>
            </w:r>
          </w:p>
        </w:tc>
        <w:tc>
          <w:tcPr>
            <w:tcW w:type="dxa" w:w="221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Récurrence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Missions de conseil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Forfait par mission (analyse, stratégie, audit, accompagnement)</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500 000 — 5 000 000 FCFA par mission</w:t>
            </w:r>
          </w:p>
        </w:tc>
        <w:tc>
          <w:tcPr>
            <w:tcW w:type="dxa" w:w="22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Ponctuel (avec potentiel de renouvellement)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333333"/>
                <w:sz w:val="20"/>
                <w:szCs w:val="20"/>
              </w:rPr>
              <w:t xml:space="preserve">Formations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Sessions de formation inter ou intra-entreprise, bootcamps</w:t>
            </w:r>
          </w:p>
        </w:tc>
        <w:tc>
          <w:tcPr>
            <w:tcW w:type="dxa" w:w="23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150 000 — 500 000 FCFA par participant</w:t>
            </w:r>
          </w:p>
        </w:tc>
        <w:tc>
          <w:tcPr>
            <w:tcW w:type="dxa" w:w="22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Trimestriel (catalogue récurrent)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Abonnement outils SaaS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Accès aux outils PAYX (simulateurs, dashboards, matrices)</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25 000 — 200 000 FCFA/mois</w:t>
            </w:r>
          </w:p>
        </w:tc>
        <w:tc>
          <w:tcPr>
            <w:tcW w:type="dxa" w:w="22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Mensuel (revenus récurrents)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333333"/>
                <w:sz w:val="20"/>
                <w:szCs w:val="20"/>
              </w:rPr>
              <w:t xml:space="preserve">Contenu premium</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Guides, templates, modèles, checklists téléchargeables</w:t>
            </w:r>
          </w:p>
        </w:tc>
        <w:tc>
          <w:tcPr>
            <w:tcW w:type="dxa" w:w="23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5 000 — 50 000 FCFA par ressource</w:t>
            </w:r>
          </w:p>
        </w:tc>
        <w:tc>
          <w:tcPr>
            <w:tcW w:type="dxa" w:w="22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Vente unitaire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Partenariats B2B</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Apporteur d’affaires, co-branding, intégration avec des PSP/processeurs</w:t>
            </w:r>
          </w:p>
        </w:tc>
        <w:tc>
          <w:tcPr>
            <w:tcW w:type="dxa" w:w="23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Commission ou forfait négocié</w:t>
            </w:r>
          </w:p>
        </w:tc>
        <w:tc>
          <w:tcPr>
            <w:tcW w:type="dxa" w:w="22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Variable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2563EB" w:sz="6"/>
              <w:bottom w:val="none" w:sz="0"/>
              <w:right w:val="none" w:sz="0"/>
            </w:tcBorders>
            <w:shd w:fill="F0F4FF" w:val="clear"/>
            <w:tcMar>
              <w:top w:type="dxa" w:w="120"/>
              <w:left w:type="dxa" w:w="200"/>
              <w:bottom w:type="dxa" w:w="120"/>
              <w:right w:type="dxa" w:w="200"/>
            </w:tcMar>
          </w:tcPr>
          <w:p>
            <w:pPr>
              <w:spacing w:after="0"/>
            </w:pPr>
            <w:r>
              <w:rPr>
                <w:rFonts w:ascii="Inter" w:cs="Inter" w:eastAsia="Inter" w:hAnsi="Inter"/>
                <w:i/>
                <w:iCs/>
                <w:color w:val="2563EB"/>
                <w:sz w:val="21"/>
                <w:szCs w:val="21"/>
              </w:rPr>
              <w:t xml:space="preserve">Objectif stratégique : construire un mix où les revenus récurrents (outils SaaS + formations catalogue) représentent au moins 40% du chiffre d’affaires d’ici 18 mois, réduisant la dépendance aux missions ponctuelles.</w:t>
            </w:r>
          </w:p>
        </w:tc>
      </w:tr>
    </w:tbl>
    <w:p>
      <w:pPr>
        <w:spacing w:after="200"/>
      </w:pPr>
    </w:p>
    <w:p>
      <w:r>
        <w:br w:type="page"/>
      </w:r>
    </w:p>
    <w:p>
      <w:pPr>
        <w:pStyle w:val="Heading1"/>
        <w:pBdr>
          <w:bottom w:val="single" w:color="2563EB" w:sz="2" w:space="8"/>
        </w:pBdr>
        <w:spacing w:after="200" w:before="400"/>
      </w:pPr>
      <w:r>
        <w:rPr>
          <w:rFonts w:ascii="Inter" w:cs="Inter" w:eastAsia="Inter" w:hAnsi="Inter"/>
          <w:b/>
          <w:bCs/>
          <w:color w:val="1A1A2E"/>
          <w:sz w:val="28"/>
          <w:szCs w:val="28"/>
        </w:rPr>
        <w:t xml:space="preserve">7. STRATÉGIE DE CRÉDIBILITÉ</w:t>
      </w:r>
    </w:p>
    <w:p>
      <w:pPr>
        <w:spacing w:after="150" w:line="276"/>
        <w:jc w:val="both"/>
      </w:pPr>
      <w:r>
        <w:rPr>
          <w:rFonts w:ascii="Inter" w:cs="Inter" w:eastAsia="Inter" w:hAnsi="Inter"/>
          <w:color w:val="333333"/>
          <w:sz w:val="21"/>
          <w:szCs w:val="21"/>
        </w:rPr>
        <w:t xml:space="preserve">En tant que structure émergente, la crédibilité ne viendra pas du CV mais de la démonstration de valeur. Voici la stratégie en 4 axes :</w:t>
      </w:r>
    </w:p>
    <w:p>
      <w:pPr>
        <w:spacing w:after="100"/>
      </w:pPr>
    </w:p>
    <w:p>
      <w:pPr>
        <w:spacing w:after="150" w:line="276"/>
        <w:jc w:val="both"/>
      </w:pPr>
      <w:r>
        <w:rPr>
          <w:rFonts w:ascii="Inter" w:cs="Inter" w:eastAsia="Inter" w:hAnsi="Inter"/>
          <w:b/>
          <w:bCs/>
          <w:color w:val="1A1A2E"/>
          <w:sz w:val="21"/>
          <w:szCs w:val="21"/>
        </w:rPr>
        <w:t xml:space="preserve">Axe 1 — Contenu de référence : </w:t>
      </w:r>
      <w:r>
        <w:rPr>
          <w:rFonts w:ascii="Inter" w:cs="Inter" w:eastAsia="Inter" w:hAnsi="Inter"/>
          <w:color w:val="333333"/>
          <w:sz w:val="21"/>
          <w:szCs w:val="21"/>
        </w:rPr>
        <w:t xml:space="preserve">Publier régulièrement des analyses, des décryptages de normes et des études de cas sur LinkedIn et le blog PAYX. Objectif : devenir la voix francophone de la monétique sur les réseaux professionnels. Chaque publication est une carte de visite gratuite.</w:t>
      </w:r>
    </w:p>
    <w:p>
      <w:pPr>
        <w:spacing w:after="50"/>
      </w:pPr>
    </w:p>
    <w:p>
      <w:pPr>
        <w:spacing w:after="150" w:line="276"/>
        <w:jc w:val="both"/>
      </w:pPr>
      <w:r>
        <w:rPr>
          <w:rFonts w:ascii="Inter" w:cs="Inter" w:eastAsia="Inter" w:hAnsi="Inter"/>
          <w:b/>
          <w:bCs/>
          <w:color w:val="1A1A2E"/>
          <w:sz w:val="21"/>
          <w:szCs w:val="21"/>
        </w:rPr>
        <w:t xml:space="preserve">Axe 2 — Outils en accès libre : </w:t>
      </w:r>
      <w:r>
        <w:rPr>
          <w:rFonts w:ascii="Inter" w:cs="Inter" w:eastAsia="Inter" w:hAnsi="Inter"/>
          <w:color w:val="333333"/>
          <w:sz w:val="21"/>
          <w:szCs w:val="21"/>
        </w:rPr>
        <w:t xml:space="preserve">Proposer des versions gratuites limitées des outils PAYX (simulateur de frais, checklist PCI DSS simplifiée). L’utilisateur découvre la qualité, puis passe à la version complète ou à une mission de conseil. May est déjà un exemple parfait de cette stratégie.</w:t>
      </w:r>
    </w:p>
    <w:p>
      <w:pPr>
        <w:spacing w:after="50"/>
      </w:pPr>
    </w:p>
    <w:p>
      <w:pPr>
        <w:spacing w:after="150" w:line="276"/>
        <w:jc w:val="both"/>
      </w:pPr>
      <w:r>
        <w:rPr>
          <w:rFonts w:ascii="Inter" w:cs="Inter" w:eastAsia="Inter" w:hAnsi="Inter"/>
          <w:b/>
          <w:bCs/>
          <w:color w:val="1A1A2E"/>
          <w:sz w:val="21"/>
          <w:szCs w:val="21"/>
        </w:rPr>
        <w:t xml:space="preserve">Axe 3 — Premières missions documentées : </w:t>
      </w:r>
      <w:r>
        <w:rPr>
          <w:rFonts w:ascii="Inter" w:cs="Inter" w:eastAsia="Inter" w:hAnsi="Inter"/>
          <w:color w:val="333333"/>
          <w:sz w:val="21"/>
          <w:szCs w:val="21"/>
        </w:rPr>
        <w:t xml:space="preserve">Transformer chaque mission (y compris celles déjà réalisées) en étude de cas anonymisée publiable. Un portfolio de cas concrets vaut plus qu’un CV.</w:t>
      </w:r>
    </w:p>
    <w:p>
      <w:pPr>
        <w:spacing w:after="50"/>
      </w:pPr>
    </w:p>
    <w:p>
      <w:pPr>
        <w:spacing w:after="150" w:line="276"/>
        <w:jc w:val="both"/>
      </w:pPr>
      <w:r>
        <w:rPr>
          <w:rFonts w:ascii="Inter" w:cs="Inter" w:eastAsia="Inter" w:hAnsi="Inter"/>
          <w:b/>
          <w:bCs/>
          <w:color w:val="1A1A2E"/>
          <w:sz w:val="21"/>
          <w:szCs w:val="21"/>
        </w:rPr>
        <w:t xml:space="preserve">Axe 4 — Écosystème et partenariats : </w:t>
      </w:r>
      <w:r>
        <w:rPr>
          <w:rFonts w:ascii="Inter" w:cs="Inter" w:eastAsia="Inter" w:hAnsi="Inter"/>
          <w:color w:val="333333"/>
          <w:sz w:val="21"/>
          <w:szCs w:val="21"/>
        </w:rPr>
        <w:t xml:space="preserve">Se rapprocher des accélérateurs fintech (Afric’Innov, CinetPay Labs), des associations professionnelles (APSFD), et des événements clés (FITA, AfricaTech). Chaque intervention publique renforce le positionnement.</w:t>
      </w:r>
    </w:p>
    <w:p>
      <w:pPr>
        <w:spacing w:after="200"/>
      </w:pPr>
    </w:p>
    <w:p>
      <w:pPr>
        <w:pStyle w:val="Heading1"/>
        <w:pBdr>
          <w:bottom w:val="single" w:color="2563EB" w:sz="2" w:space="8"/>
        </w:pBdr>
        <w:spacing w:after="200" w:before="400"/>
      </w:pPr>
      <w:r>
        <w:rPr>
          <w:rFonts w:ascii="Inter" w:cs="Inter" w:eastAsia="Inter" w:hAnsi="Inter"/>
          <w:b/>
          <w:bCs/>
          <w:color w:val="1A1A2E"/>
          <w:sz w:val="28"/>
          <w:szCs w:val="28"/>
        </w:rPr>
        <w:t xml:space="preserve">8. IDENTITÉ DE MARQUE</w:t>
      </w:r>
    </w:p>
    <w:p>
      <w:pPr>
        <w:spacing w:after="50"/>
      </w:pPr>
    </w:p>
    <w:p>
      <w:pPr>
        <w:spacing w:after="150" w:line="276"/>
        <w:jc w:val="both"/>
      </w:pPr>
      <w:r>
        <w:rPr>
          <w:rFonts w:ascii="Inter" w:cs="Inter" w:eastAsia="Inter" w:hAnsi="Inter"/>
          <w:b/>
          <w:bCs/>
          <w:color w:val="1A1A2E"/>
          <w:sz w:val="21"/>
          <w:szCs w:val="21"/>
        </w:rPr>
        <w:t xml:space="preserve">Nom : </w:t>
      </w:r>
      <w:r>
        <w:rPr>
          <w:rFonts w:ascii="Inter" w:cs="Inter" w:eastAsia="Inter" w:hAnsi="Inter"/>
          <w:color w:val="333333"/>
          <w:sz w:val="21"/>
          <w:szCs w:val="21"/>
        </w:rPr>
        <w:t xml:space="preserve">PAYX (prononcé « pèx ») — 4 lettres, international, mémorable, évoque le paiement (pay) avec une touche distinctive.</w:t>
      </w:r>
    </w:p>
    <w:p>
      <w:pPr>
        <w:spacing w:after="50"/>
      </w:pPr>
    </w:p>
    <w:p>
      <w:pPr>
        <w:spacing w:after="150" w:line="276"/>
        <w:jc w:val="both"/>
      </w:pPr>
      <w:r>
        <w:rPr>
          <w:rFonts w:ascii="Inter" w:cs="Inter" w:eastAsia="Inter" w:hAnsi="Inter"/>
          <w:b/>
          <w:bCs/>
          <w:color w:val="1A1A2E"/>
          <w:sz w:val="21"/>
          <w:szCs w:val="21"/>
        </w:rPr>
        <w:t xml:space="preserve">Tagline : </w:t>
      </w:r>
      <w:r>
        <w:rPr>
          <w:rFonts w:ascii="Inter" w:cs="Inter" w:eastAsia="Inter" w:hAnsi="Inter"/>
          <w:color w:val="333333"/>
          <w:sz w:val="21"/>
          <w:szCs w:val="21"/>
        </w:rPr>
        <w:t xml:space="preserve">Consulting &amp; Solutions Monétiques</w:t>
      </w:r>
    </w:p>
    <w:p>
      <w:pPr>
        <w:spacing w:after="50"/>
      </w:pPr>
    </w:p>
    <w:p>
      <w:pPr>
        <w:spacing w:after="150" w:line="276"/>
        <w:jc w:val="both"/>
      </w:pPr>
      <w:r>
        <w:rPr>
          <w:rFonts w:ascii="Inter" w:cs="Inter" w:eastAsia="Inter" w:hAnsi="Inter"/>
          <w:b/>
          <w:bCs/>
          <w:color w:val="1A1A2E"/>
          <w:sz w:val="21"/>
          <w:szCs w:val="21"/>
        </w:rPr>
        <w:t xml:space="preserve">Personnalité de marque : </w:t>
      </w:r>
      <w:r>
        <w:rPr>
          <w:rFonts w:ascii="Inter" w:cs="Inter" w:eastAsia="Inter" w:hAnsi="Inter"/>
          <w:color w:val="333333"/>
          <w:sz w:val="21"/>
          <w:szCs w:val="21"/>
        </w:rPr>
        <w:t xml:space="preserve">Experte mais accessible. Sérieuse mais pas corporative. Technique mais compréhensible. Africaine mais globale.</w:t>
      </w:r>
    </w:p>
    <w:p>
      <w:pPr>
        <w:spacing w:after="50"/>
      </w:pPr>
    </w:p>
    <w:p>
      <w:pPr>
        <w:spacing w:after="150" w:line="276"/>
        <w:jc w:val="both"/>
      </w:pPr>
      <w:r>
        <w:rPr>
          <w:rFonts w:ascii="Inter" w:cs="Inter" w:eastAsia="Inter" w:hAnsi="Inter"/>
          <w:b/>
          <w:bCs/>
          <w:color w:val="1A1A2E"/>
          <w:sz w:val="21"/>
          <w:szCs w:val="21"/>
        </w:rPr>
        <w:t xml:space="preserve">Ton de voix : </w:t>
      </w:r>
      <w:r>
        <w:rPr>
          <w:rFonts w:ascii="Inter" w:cs="Inter" w:eastAsia="Inter" w:hAnsi="Inter"/>
          <w:color w:val="333333"/>
          <w:sz w:val="21"/>
          <w:szCs w:val="21"/>
        </w:rPr>
        <w:t xml:space="preserve">Professionnel, pédagogue, direct. On explique sans condescendance, on recommande sans jargon inutile.</w:t>
      </w:r>
    </w:p>
    <w:p>
      <w:pPr>
        <w:spacing w:after="50"/>
      </w:pPr>
    </w:p>
    <w:p>
      <w:pPr>
        <w:spacing w:after="150" w:line="276"/>
        <w:jc w:val="both"/>
      </w:pPr>
      <w:r>
        <w:rPr>
          <w:rFonts w:ascii="Inter" w:cs="Inter" w:eastAsia="Inter" w:hAnsi="Inter"/>
          <w:b/>
          <w:bCs/>
          <w:color w:val="1A1A2E"/>
          <w:sz w:val="21"/>
          <w:szCs w:val="21"/>
        </w:rPr>
        <w:t xml:space="preserve">Territoire visuel : </w:t>
      </w:r>
      <w:r>
        <w:rPr>
          <w:rFonts w:ascii="Inter" w:cs="Inter" w:eastAsia="Inter" w:hAnsi="Inter"/>
          <w:color w:val="333333"/>
          <w:sz w:val="21"/>
          <w:szCs w:val="21"/>
        </w:rPr>
        <w:t xml:space="preserve">Premium et sobre. Palette sombre (bleu nuit / marine) avec accents électriques (bleu vif, blanc). Typographie moderne sans empattement. Aucun élément ludique ou « startup-fun ».</w:t>
      </w:r>
    </w:p>
    <w:p>
      <w:pPr>
        <w:spacing w:after="200"/>
      </w:pPr>
    </w:p>
    <w:p>
      <w:pPr>
        <w:pStyle w:val="Heading1"/>
        <w:pBdr>
          <w:bottom w:val="single" w:color="2563EB" w:sz="2" w:space="8"/>
        </w:pBdr>
        <w:spacing w:after="200" w:before="400"/>
      </w:pPr>
      <w:r>
        <w:rPr>
          <w:rFonts w:ascii="Inter" w:cs="Inter" w:eastAsia="Inter" w:hAnsi="Inter"/>
          <w:b/>
          <w:bCs/>
          <w:color w:val="1A1A2E"/>
          <w:sz w:val="28"/>
          <w:szCs w:val="28"/>
        </w:rPr>
        <w:t xml:space="preserve">9. FEUILLE DE ROUTE À 12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Période</w:t>
            </w:r>
          </w:p>
        </w:tc>
        <w:tc>
          <w:tcPr>
            <w:tcW w:type="dxa" w:w="361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Actions clés</w:t>
            </w:r>
          </w:p>
        </w:tc>
        <w:tc>
          <w:tcPr>
            <w:tcW w:type="dxa" w:w="3613"/>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pPr>
              <w:jc w:val="center"/>
            </w:pPr>
            <w:r>
              <w:rPr>
                <w:rFonts w:ascii="Inter" w:cs="Inter" w:eastAsia="Inter" w:hAnsi="Inter"/>
                <w:b/>
                <w:bCs/>
                <w:color w:val="FFFFFF"/>
                <w:sz w:val="20"/>
                <w:szCs w:val="20"/>
              </w:rPr>
              <w:t xml:space="preserve">Objectifs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Mois 1–3</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Lancer le site web PAYX. Publier 2 articles/mois sur LinkedIn. Finaliser 3 outils (simulateur rentabilité, checklist PCI DSS, May avancé). Décrocher 2 missions de conseil.</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Présence digitale établie. Premiers revenus. Portfolio de 3 outils disponibles.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333333"/>
                <w:sz w:val="20"/>
                <w:szCs w:val="20"/>
              </w:rPr>
              <w:t xml:space="preserve">Mois 4–6</w:t>
            </w:r>
          </w:p>
        </w:tc>
        <w:tc>
          <w:tcPr>
            <w:tcW w:type="dxa" w:w="36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Lancer le premier bootcamp monétique (en ligne). Publier 2 études de cas. Prospecter les accélérateurs fintech. Développer la version SaaS des outils.</w:t>
            </w:r>
          </w:p>
        </w:tc>
        <w:tc>
          <w:tcPr>
            <w:tcW w:type="dxa" w:w="36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Première cohorte de formation. 5 missions cumulées. Notoriété LinkedIn en croissance.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bCs/>
                <w:color w:val="333333"/>
                <w:sz w:val="20"/>
                <w:szCs w:val="20"/>
              </w:rPr>
              <w:t xml:space="preserve">Mois 7–9</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Lancer Nexoria (plateforme éducative complète). Établir 2 partenariats B2B (PSP ou accélérateur). Intervenir dans un événement sectoriel.</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Diversification des revenus. Reconnaissance sectorielle. 10+ clients servis.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bCs/>
                <w:color w:val="333333"/>
                <w:sz w:val="20"/>
                <w:szCs w:val="20"/>
              </w:rPr>
              <w:t xml:space="preserve">Mois 10–12</w:t>
            </w:r>
          </w:p>
        </w:tc>
        <w:tc>
          <w:tcPr>
            <w:tcW w:type="dxa" w:w="36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Étendre à 2 pays UEMOA supplémentaires. Recruter un premier collaborateur ou partenaire associé. Structurer l’offre de contrat cadre annuel pour les institutionnels.</w:t>
            </w:r>
          </w:p>
        </w:tc>
        <w:tc>
          <w:tcPr>
            <w:tcW w:type="dxa" w:w="36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pPr>
            <w:r>
              <w:rPr>
                <w:rFonts w:ascii="Inter" w:cs="Inter" w:eastAsia="Inter" w:hAnsi="Inter"/>
                <w:b w:val="false"/>
                <w:bCs w:val="false"/>
                <w:color w:val="333333"/>
                <w:sz w:val="20"/>
                <w:szCs w:val="20"/>
              </w:rPr>
              <w:t xml:space="preserve">40% de revenus récurrents. Expansion géographique amorcée. Équipe en construction.</w:t>
            </w:r>
          </w:p>
        </w:tc>
      </w:tr>
    </w:tbl>
    <w:p>
      <w:pPr>
        <w:spacing w:after="300"/>
      </w:pPr>
    </w:p>
    <w:p>
      <w:pPr>
        <w:pBdr>
          <w:top w:val="single" w:color="2563EB" w:sz="2" w:space="12"/>
        </w:pBdr>
        <w:spacing w:after="200" w:before="400"/>
        <w:jc w:val="center"/>
      </w:pPr>
      <w:r>
        <w:rPr>
          <w:rFonts w:ascii="Inter" w:cs="Inter" w:eastAsia="Inter" w:hAnsi="Inter"/>
          <w:b/>
          <w:bCs/>
          <w:color w:val="2563EB"/>
          <w:sz w:val="22"/>
          <w:szCs w:val="22"/>
        </w:rPr>
        <w:t xml:space="preserve">PAYX — Consulting &amp; Solutions Monétiques</w:t>
      </w:r>
    </w:p>
    <w:p>
      <w:pPr>
        <w:jc w:val="center"/>
      </w:pPr>
      <w:r>
        <w:rPr>
          <w:rFonts w:ascii="Inter" w:cs="Inter" w:eastAsia="Inter" w:hAnsi="Inter"/>
          <w:i/>
          <w:iCs/>
          <w:color w:val="6B7280"/>
          <w:sz w:val="20"/>
          <w:szCs w:val="20"/>
        </w:rPr>
        <w:t xml:space="preserve">L’expertise monétique, accessible et actionnable.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6B7280"/>
        <w:sz w:val="16"/>
        <w:szCs w:val="16"/>
      </w:rPr>
      <w:t xml:space="preserve">Page </w:t>
    </w:r>
    <w:r>
      <w:rPr>
        <w:rFonts w:ascii="Inter" w:cs="Inter" w:eastAsia="Inter" w:hAnsi="Inte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6"/>
      </w:pBdr>
    </w:pPr>
    <w:r>
      <w:rPr>
        <w:rFonts w:ascii="Inter" w:cs="Inter" w:eastAsia="Inter" w:hAnsi="Inter"/>
        <w:b/>
        <w:bCs/>
        <w:color w:val="2563EB"/>
        <w:sz w:val="16"/>
        <w:szCs w:val="16"/>
      </w:rPr>
      <w:t xml:space="preserve">PAYX</w:t>
    </w:r>
    <w:r>
      <w:rPr>
        <w:rFonts w:ascii="Inter" w:cs="Inter" w:eastAsia="Inter" w:hAnsi="Inter"/>
        <w:color w:val="6B7280"/>
        <w:sz w:val="16"/>
        <w:szCs w:val="16"/>
      </w:rPr>
      <w:t xml:space="preserve">  |  Document de positionnement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Inter" w:cs="Inter" w:eastAsia="Inter" w:hAnsi="Inter"/>
      <w:b/>
      <w:bCs/>
      <w:color w:val="1A1A2E"/>
      <w:sz w:val="28"/>
      <w:szCs w:val="28"/>
    </w:rPr>
  </w:style>
  <w:style w:type="paragraph" w:styleId="Heading2">
    <w:name w:val="Heading 2"/>
    <w:basedOn w:val="Normal"/>
    <w:next w:val="Normal"/>
    <w:qFormat/>
    <w:pPr>
      <w:spacing w:after="150" w:before="300"/>
      <w:outlineLvl w:val="1"/>
    </w:pPr>
    <w:rPr>
      <w:rFonts w:ascii="Inter" w:cs="Inter" w:eastAsia="Inter" w:hAnsi="Inter"/>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2026-04-13T13:17:05.457Z</dcterms:created>
  <dcterms:modified xsi:type="dcterms:W3CDTF">2026-04-13T13:17:05.458Z</dcterms:modified>
</cp:coreProperties>
</file>

<file path=docProps/custom.xml><?xml version="1.0" encoding="utf-8"?>
<Properties xmlns="http://schemas.openxmlformats.org/officeDocument/2006/custom-properties" xmlns:vt="http://schemas.openxmlformats.org/officeDocument/2006/docPropsVTypes"/>
</file>