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ICT2142 E-Business Systems</w:t>
      </w:r>
    </w:p>
    <w:p w:rsidR="00000000" w:rsidDel="00000000" w:rsidP="00000000" w:rsidRDefault="00000000" w:rsidRPr="00000000" w14:paraId="00000009">
      <w:pPr>
        <w:spacing w:after="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 06 Practical Report</w:t>
      </w:r>
    </w:p>
    <w:p w:rsidR="00000000" w:rsidDel="00000000" w:rsidP="00000000" w:rsidRDefault="00000000" w:rsidRPr="00000000" w14:paraId="0000000A">
      <w:pPr>
        <w:spacing w:after="460" w:lineRule="auto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nr accessories.lk — Smartphone Accessories E-Commerce Platform</w:t>
      </w:r>
    </w:p>
    <w:p w:rsidR="00000000" w:rsidDel="00000000" w:rsidP="00000000" w:rsidRDefault="00000000" w:rsidRPr="00000000" w14:paraId="0000000B">
      <w:pPr>
        <w:spacing w:after="460" w:lineRule="auto"/>
        <w:jc w:val="center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TG/2024/2147</w:t>
      </w:r>
    </w:p>
    <w:p w:rsidR="00000000" w:rsidDel="00000000" w:rsidP="00000000" w:rsidRDefault="00000000" w:rsidRPr="00000000" w14:paraId="0000000C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 Authentication &amp; Profile Management</w:t>
      </w:r>
    </w:p>
    <w:p w:rsidR="00000000" w:rsidDel="00000000" w:rsidP="00000000" w:rsidRDefault="00000000" w:rsidRPr="00000000" w14:paraId="0000000D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00" w:lineRule="auto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Auth Architecture Diagram</w:t>
      </w:r>
    </w:p>
    <w:p w:rsidR="00000000" w:rsidDel="00000000" w:rsidP="00000000" w:rsidRDefault="00000000" w:rsidRPr="00000000" w14:paraId="00000012">
      <w:pPr>
        <w:spacing w:after="90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diagram illustrates the flow of tokens between the client and server during login and subsequent API requests.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-219074</wp:posOffset>
            </wp:positionH>
            <wp:positionV relativeFrom="paragraph">
              <wp:posOffset>504825</wp:posOffset>
            </wp:positionV>
            <wp:extent cx="6248400" cy="7162800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716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spacing w:after="90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900" w:lineRule="auto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Security Considerations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Password Hashing: 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Plaintext passwords are never stored in the database. We utilize the bcryptjs library with a salt factor of 10 to securely hash passwords during registration and compare hashes during login.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JWT Authentication: 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JSON Web Tokens (JWT) are used for stateless session management. Tokens are signed with a secure JWT_SECRET stored in environment variables and are set to expire in 7 days to minimize the risk of compromised long-lived tokens.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Token Storage: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On the client side, the JWT is stored in localStorage for simplicity in this phase. (Note: For stricter security against XSS attacks, migrating to httpOnly cookies is recommended for production).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Route Guards: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Frontend routes like /profile and /checkout are protected using a higher-order component (ProtectedRoute.tsx). If an unauthenticated user attempts to access these routes, they are intercepted and redirected to the /login page.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Prevention of User Enumeration: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The login endpoint returns generic "Invalid email or password" messages to prevent attackers from determining which emails are registered in the system.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Debugging Notes &amp; Edge Cases</w:t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React State Synchronization: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Issue: When navigating between authentication pages, the AuthContext sometimes held stale user data.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Resolution: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Implemented a hard refresh (window.location.href = '/') on login and logout, and ensured the useEffect hook in AuthContext re-evaluates the authentication status correctly on mount.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Protected Route Flickering: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Issue: When users refreshed the page on a protected route, they were briefly redirected to /login before the token could be read.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Resolution: 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synchronous reading of localStorage during the initial state initialization of useState inside AuthProvider.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Mongoose Address Schema Updates: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Issue: Updating nested arrays (like addresses) required ensuring that we didn't accidentally overwrite the entire user object or lose existing createdAt fields.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Resolution: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Specifically targeted the fields to update (user.name, user.phone, user.addresses) and called .save() to safely run validations.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API Specification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 /api/auth/register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 Registers a new user.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325527</wp:posOffset>
            </wp:positionV>
            <wp:extent cx="5943600" cy="2654300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Response (201 Created): 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Returns user details and a JWT token.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POST /api/auth/login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Description: Authenticates an existing user and provides a JWT.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Request Body: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-41274</wp:posOffset>
            </wp:positionH>
            <wp:positionV relativeFrom="paragraph">
              <wp:posOffset>307975</wp:posOffset>
            </wp:positionV>
            <wp:extent cx="5943600" cy="1892300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Response (200 OK): Returns user details and a JWT token.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 /api/auth/me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Description: 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Retrieves the logged-in user's profile details.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Headers: 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Response (200 OK): Returns the user object (excluding the password hash).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PUT /api/auth/me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Updates the logged-in user's profile details and shipping addresses.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Headers: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Authorization: Bearer &lt;JWT_TOKEN&gt;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Request Body: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</wp:posOffset>
            </wp:positionH>
            <wp:positionV relativeFrom="paragraph">
              <wp:posOffset>293530</wp:posOffset>
            </wp:positionV>
            <wp:extent cx="5943600" cy="42799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Response (200 OK): Returns the newly updated user object.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860800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210736</wp:posOffset>
            </wp:positionV>
            <wp:extent cx="5943600" cy="386080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118935</wp:posOffset>
            </wp:positionV>
            <wp:extent cx="5943600" cy="3860800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3610752</wp:posOffset>
            </wp:positionV>
            <wp:extent cx="5943600" cy="38608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