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0B2545"/>
          <w:sz w:val="64"/>
          <w:szCs w:val="64"/>
        </w:rPr>
        <w:t xml:space="preserve">FloodSense AI</w:t>
      </w:r>
    </w:p>
    <w:p>
      <w:pPr>
        <w:spacing w:after="200"/>
        <w:jc w:val="center"/>
      </w:pPr>
      <w:r>
        <w:rPr>
          <w:b/>
          <w:bCs/>
          <w:color w:val="0E7C7B"/>
          <w:sz w:val="30"/>
          <w:szCs w:val="30"/>
        </w:rPr>
        <w:t xml:space="preserve">A Predictive Digital Twin for Urban Drainage Networks</w:t>
      </w:r>
    </w:p>
    <w:p>
      <w:pPr>
        <w:spacing w:after="60"/>
        <w:jc w:val="center"/>
      </w:pPr>
      <w:r>
        <w:rPr>
          <w:i/>
          <w:iCs/>
          <w:color w:val="595959"/>
          <w:sz w:val="24"/>
          <w:szCs w:val="24"/>
        </w:rPr>
        <w:t xml:space="preserve">Master Project Documentation</w:t>
      </w:r>
    </w:p>
    <w:p>
      <w:pPr>
        <w:spacing w:after="480"/>
        <w:jc w:val="center"/>
      </w:pPr>
      <w:r>
        <w:rPr>
          <w:color w:val="595959"/>
          <w:sz w:val="22"/>
          <w:szCs w:val="22"/>
        </w:rPr>
        <w:t xml:space="preserve">Prepared for the Oxford Saïd Global Climate Tech Challenge 2026</w:t>
      </w:r>
    </w:p>
    <w:p>
      <w:pPr>
        <w:spacing w:after="60"/>
        <w:jc w:val="center"/>
      </w:pPr>
      <w:r>
        <w:rPr>
          <w:b/>
          <w:bCs/>
          <w:color w:val="0B2545"/>
          <w:sz w:val="20"/>
          <w:szCs w:val="20"/>
        </w:rPr>
        <w:t xml:space="preserve">Challenge Track: Extreme Weather Events</w:t>
      </w:r>
    </w:p>
    <w:p>
      <w:pPr>
        <w:spacing w:after="800"/>
        <w:jc w:val="center"/>
      </w:pPr>
      <w:r>
        <w:rPr>
          <w:color w:val="595959"/>
          <w:sz w:val="18"/>
          <w:szCs w:val="18"/>
        </w:rPr>
        <w:t xml:space="preserve">Saïd Business School, University of Oxford — Entries close 17 August 2026</w:t>
      </w:r>
    </w:p>
    <w:p>
      <w:pPr>
        <w:spacing w:before="1200"/>
        <w:jc w:val="center"/>
      </w:pPr>
      <w:r>
        <w:rPr>
          <w:i/>
          <w:iCs/>
          <w:color w:val="595959"/>
          <w:sz w:val="20"/>
          <w:szCs w:val="20"/>
        </w:rPr>
        <w:t xml:space="preserve">How to use this document: this is the full research-and-design reference behind FloodSense AI. It is deliberately longer and more detailed than the competition submission itself, which must be a 10-page PDF deck plus a 3-minute video. Use this document to think, to answer judges' follow-up questions with confidence, and as the source you compress into the deck — not as the deck itself.</w:t>
      </w:r>
    </w:p>
    <w:p>
      <w:r>
        <w:br w:type="page"/>
      </w:r>
    </w:p>
    <w:p>
      <w:pPr>
        <w:pStyle w:val="Heading1"/>
        <w:pBdr>
          <w:bottom w:val="single" w:color="0E7C7B" w:sz="8" w:space="4"/>
        </w:pBdr>
        <w:spacing w:after="240" w:before="480"/>
      </w:pPr>
      <w:r>
        <w:rPr>
          <w:b/>
          <w:bCs/>
          <w:color w:val="0B2545"/>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7C7B" w:sz="8" w:space="4"/>
        </w:pBdr>
        <w:spacing w:after="240" w:before="480"/>
      </w:pPr>
      <w:r>
        <w:rPr>
          <w:b/>
          <w:bCs/>
          <w:color w:val="0B2545"/>
          <w:sz w:val="32"/>
          <w:szCs w:val="32"/>
        </w:rPr>
        <w:t xml:space="preserve">1. Executive Summary</w:t>
      </w:r>
    </w:p>
    <w:p>
      <w:pPr>
        <w:spacing w:after="160" w:line="288"/>
        <w:jc w:val="both"/>
      </w:pPr>
      <w:r>
        <w:rPr>
          <w:b w:val="false"/>
          <w:bCs w:val="false"/>
          <w:i w:val="false"/>
          <w:iCs w:val="false"/>
          <w:color w:val="000000"/>
          <w:sz w:val="22"/>
          <w:szCs w:val="22"/>
        </w:rPr>
        <w:t xml:space="preserve">Urban flooding is usually described as a rainfall problem. It is not. Rain is the trigger; the disaster is produced by the failure of a drainage system that no one is watching in real time. Storm drains silently clog with leaves, litter and, in colder climates, ice, long before the first road floods. By the time water is visible on a street, the system has already failed — the window for cheap, low-drama intervention (clearing one blocked grate, closing one road pre-emptively, pre-positioning one pump) has already closed.</w:t>
      </w:r>
    </w:p>
    <w:p>
      <w:pPr>
        <w:spacing w:after="160" w:line="288"/>
        <w:jc w:val="both"/>
      </w:pPr>
      <w:r>
        <w:rPr>
          <w:b w:val="false"/>
          <w:bCs w:val="false"/>
          <w:i w:val="false"/>
          <w:iCs w:val="false"/>
          <w:color w:val="000000"/>
          <w:sz w:val="22"/>
          <w:szCs w:val="22"/>
        </w:rPr>
        <w:t xml:space="preserve">FloodSense AI reframes the problem from “will it rain enough to flood?” to “which specific drain, street or neighbourhood will fail first, and how many minutes do we have to act?” It is a real-time digital twin of a city's stormwater network that fuses weather forecasts, low-cost IoT sensors inside drains, computer vision on existing CCTV, satellite-derived snow and soil-moisture data, and GIS terrain models into a single simulation. Every few minutes, the twin re-runs a physics-and-machine-learning hybrid model to answer three questions: where will water accumulate in the next 30–90 minutes, how severe will it be, and what is the single highest-value action a city crew can take right now.</w:t>
      </w:r>
    </w:p>
    <w:p>
      <w:pPr>
        <w:spacing w:after="160" w:line="288"/>
        <w:jc w:val="both"/>
      </w:pPr>
      <w:r>
        <w:rPr>
          <w:b w:val="false"/>
          <w:bCs w:val="false"/>
          <w:i w:val="false"/>
          <w:iCs w:val="false"/>
          <w:color w:val="000000"/>
          <w:sz w:val="22"/>
          <w:szCs w:val="22"/>
        </w:rPr>
        <w:t xml:space="preserve">Unlike generic flood-warning apps, FloodSense AI does not forecast weather — it forecasts infrastructure failure at the level of an individual asset (a named drain, a named road segment), and it closes the loop by recommending and prioritising action, ranked not just by water depth but by who and what is put at risk: hospitals, schools, evacuation routes, and economically vital corridors. This turns the system from a passive alert tool into a decision-support system that a city's public works and emergency services can actually act on.</w:t>
      </w:r>
    </w:p>
    <w:p>
      <w:pPr>
        <w:spacing w:after="160" w:line="288"/>
        <w:jc w:val="both"/>
      </w:pPr>
      <w:r>
        <w:rPr>
          <w:b w:val="false"/>
          <w:bCs w:val="false"/>
          <w:i w:val="false"/>
          <w:iCs w:val="false"/>
          <w:color w:val="000000"/>
          <w:sz w:val="22"/>
          <w:szCs w:val="22"/>
        </w:rPr>
        <w:t xml:space="preserve">A student team can build a convincing, fully working proof of concept: a single instrumented drain model, a small IoT sensor network, a webcam-based blockage detector, and a live dashboard simulating a city block, is realistic to prototype with off-the-shelf hardware (ESP32 microcontrollers, ultrasonic sensors, a Raspberry Pi camera) and open-source software in the time available before the deadline.</w:t>
      </w:r>
    </w:p>
    <w:p>
      <w:pPr>
        <w:pStyle w:val="Heading1"/>
        <w:pBdr>
          <w:bottom w:val="single" w:color="0E7C7B" w:sz="8" w:space="4"/>
        </w:pBdr>
        <w:spacing w:after="240" w:before="480"/>
      </w:pPr>
      <w:r>
        <w:rPr>
          <w:b/>
          <w:bCs/>
          <w:color w:val="0B2545"/>
          <w:sz w:val="32"/>
          <w:szCs w:val="32"/>
        </w:rPr>
        <w:t xml:space="preserve">2. The Problem: Why Cities Keep Flooding</w:t>
      </w:r>
    </w:p>
    <w:p>
      <w:pPr>
        <w:pStyle w:val="Heading2"/>
        <w:spacing w:after="160" w:before="360"/>
      </w:pPr>
      <w:r>
        <w:rPr>
          <w:b/>
          <w:bCs/>
          <w:color w:val="0E7C7B"/>
          <w:sz w:val="26"/>
          <w:szCs w:val="26"/>
        </w:rPr>
        <w:t xml:space="preserve">2.1 Flooding is a systems failure, not a weather event</w:t>
      </w:r>
    </w:p>
    <w:p>
      <w:pPr>
        <w:spacing w:after="160" w:line="288"/>
        <w:jc w:val="both"/>
      </w:pPr>
      <w:r>
        <w:rPr>
          <w:b w:val="false"/>
          <w:bCs w:val="false"/>
          <w:i w:val="false"/>
          <w:iCs w:val="false"/>
          <w:color w:val="000000"/>
          <w:sz w:val="22"/>
          <w:szCs w:val="22"/>
        </w:rPr>
        <w:t xml:space="preserve">Almost every urban flood follows the same causal chain, regardless of country, climate or drainage design standard:</w:t>
      </w:r>
    </w:p>
    <w:p>
      <w:pPr>
        <w:pStyle w:val="ListParagraph"/>
        <w:numPr>
          <w:ilvl w:val="0"/>
          <w:numId w:val="2"/>
        </w:numPr>
        <w:spacing w:after="100" w:line="276"/>
      </w:pPr>
      <w:r>
        <w:rPr>
          <w:sz w:val="22"/>
          <w:szCs w:val="22"/>
        </w:rPr>
        <w:t xml:space="preserve">Heavy rain (or rapid snowmelt) begins.</w:t>
      </w:r>
    </w:p>
    <w:p>
      <w:pPr>
        <w:pStyle w:val="ListParagraph"/>
        <w:numPr>
          <w:ilvl w:val="0"/>
          <w:numId w:val="2"/>
        </w:numPr>
        <w:spacing w:after="100" w:line="276"/>
      </w:pPr>
      <w:r>
        <w:rPr>
          <w:sz w:val="22"/>
          <w:szCs w:val="22"/>
        </w:rPr>
        <w:t xml:space="preserve">Storm drains, already partially blocked by leaves, litter, sediment or ice, cannot admit water fast enough.</w:t>
      </w:r>
    </w:p>
    <w:p>
      <w:pPr>
        <w:pStyle w:val="ListParagraph"/>
        <w:numPr>
          <w:ilvl w:val="0"/>
          <w:numId w:val="2"/>
        </w:numPr>
        <w:spacing w:after="100" w:line="276"/>
      </w:pPr>
      <w:r>
        <w:rPr>
          <w:sz w:val="22"/>
          <w:szCs w:val="22"/>
        </w:rPr>
        <w:t xml:space="preserve">Water backs up onto the road surface at the lowest-lying points first — not uniformly across the city.</w:t>
      </w:r>
    </w:p>
    <w:p>
      <w:pPr>
        <w:pStyle w:val="ListParagraph"/>
        <w:numPr>
          <w:ilvl w:val="0"/>
          <w:numId w:val="2"/>
        </w:numPr>
        <w:spacing w:after="100" w:line="276"/>
      </w:pPr>
      <w:r>
        <w:rPr>
          <w:sz w:val="22"/>
          <w:szCs w:val="22"/>
        </w:rPr>
        <w:t xml:space="preserve">Roads close, often with little or no warning to drivers already on them.</w:t>
      </w:r>
    </w:p>
    <w:p>
      <w:pPr>
        <w:pStyle w:val="ListParagraph"/>
        <w:numPr>
          <w:ilvl w:val="0"/>
          <w:numId w:val="2"/>
        </w:numPr>
        <w:spacing w:after="100" w:line="276"/>
      </w:pPr>
      <w:r>
        <w:rPr>
          <w:sz w:val="22"/>
          <w:szCs w:val="22"/>
        </w:rPr>
        <w:t xml:space="preserve">Emergency vehicles are re-routed or delayed, at exactly the moment demand for them spikes.</w:t>
      </w:r>
    </w:p>
    <w:p>
      <w:pPr>
        <w:pStyle w:val="ListParagraph"/>
        <w:numPr>
          <w:ilvl w:val="0"/>
          <w:numId w:val="2"/>
        </w:numPr>
        <w:spacing w:after="100" w:line="276"/>
      </w:pPr>
      <w:r>
        <w:rPr>
          <w:sz w:val="22"/>
          <w:szCs w:val="22"/>
        </w:rPr>
        <w:t xml:space="preserve">Businesses lose trading hours and stock; informal workers and daily-wage earners lose income for the day.</w:t>
      </w:r>
    </w:p>
    <w:p>
      <w:pPr>
        <w:pStyle w:val="ListParagraph"/>
        <w:numPr>
          <w:ilvl w:val="0"/>
          <w:numId w:val="2"/>
        </w:numPr>
        <w:spacing w:after="100" w:line="276"/>
      </w:pPr>
      <w:r>
        <w:rPr>
          <w:sz w:val="22"/>
          <w:szCs w:val="22"/>
        </w:rPr>
        <w:t xml:space="preserve">Residents, especially those without cars or in ground-floor housing, become trapped or displaced.</w:t>
      </w:r>
    </w:p>
    <w:p>
      <w:pPr>
        <w:spacing w:after="160" w:line="288"/>
        <w:jc w:val="both"/>
      </w:pPr>
      <w:r>
        <w:rPr>
          <w:b w:val="false"/>
          <w:bCs w:val="false"/>
          <w:i w:val="false"/>
          <w:iCs w:val="false"/>
          <w:color w:val="000000"/>
          <w:sz w:val="22"/>
          <w:szCs w:val="22"/>
        </w:rPr>
        <w:t xml:space="preserve">The chain has a hinge point: step 2, the hidden state of the drainage network, is the one variable that is almost never measured. Cities routinely monitor rainfall (via national meteorological services) and, increasingly, river levels. Almost none monitor the real-time capacity of the thousands of individual drains that determine whether a given rainfall total becomes a puddle or a closed hospital access road.</w:t>
      </w:r>
    </w:p>
    <w:p>
      <w:pPr>
        <w:pStyle w:val="Heading2"/>
        <w:spacing w:after="160" w:before="360"/>
      </w:pPr>
      <w:r>
        <w:rPr>
          <w:b/>
          <w:bCs/>
          <w:color w:val="0E7C7B"/>
          <w:sz w:val="26"/>
          <w:szCs w:val="26"/>
        </w:rPr>
        <w:t xml:space="preserve">2.2 The spring compound-hazard case</w:t>
      </w:r>
    </w:p>
    <w:p>
      <w:pPr>
        <w:spacing w:after="160" w:line="288"/>
        <w:jc w:val="both"/>
      </w:pPr>
      <w:r>
        <w:rPr>
          <w:b w:val="false"/>
          <w:bCs w:val="false"/>
          <w:i w:val="false"/>
          <w:iCs w:val="false"/>
          <w:color w:val="000000"/>
          <w:sz w:val="22"/>
          <w:szCs w:val="22"/>
        </w:rPr>
        <w:t xml:space="preserve">In temperate and continental climates the same failure chain is amplified by a compound hazard that pure rainfall models miss entirely: rapid snowmelt combines with rain-on-snow events while the ground is still frozen and cannot infiltrate water, and while drains themselves may still be physically obstructed by ice. Four independent stressors — snowmelt volume, rainfall, frozen-soil runoff coefficients approaching those of pavement, and ice-blocked drains — stack on top of one another. A forecast model built only around millimetres of rain will systematically under-predict these spring events, which is exactly when many mid-latitude cities experience their worst flooding of the year.</w:t>
      </w:r>
    </w:p>
    <w:p>
      <w:pPr>
        <w:pStyle w:val="Heading2"/>
        <w:spacing w:after="160" w:before="360"/>
      </w:pPr>
      <w:r>
        <w:rPr>
          <w:b/>
          <w:bCs/>
          <w:color w:val="0E7C7B"/>
          <w:sz w:val="26"/>
          <w:szCs w:val="26"/>
        </w:rPr>
        <w:t xml:space="preserve">2.3 Why the obvious solutions are not enough</w:t>
      </w:r>
    </w:p>
    <w:p>
      <w:pPr>
        <w:spacing w:after="160" w:line="288"/>
        <w:jc w:val="both"/>
      </w:pPr>
      <w:r>
        <w:rPr>
          <w:b w:val="false"/>
          <w:bCs w:val="false"/>
          <w:i w:val="false"/>
          <w:iCs w:val="false"/>
          <w:color w:val="000000"/>
          <w:sz w:val="22"/>
          <w:szCs w:val="22"/>
        </w:rPr>
        <w:t xml:space="preserve">Three categories of existing technology each solve one piece of the puzzle but none closes the loop: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50"/>
      </w:tblGrid>
      <w:tr>
        <w:trPr>
          <w:tblHeader/>
        </w:trPr>
        <w:tc>
          <w:tcPr>
            <w:tcW w:type="dxa" w:w="3200"/>
            <w:shd w:fill="0B2545" w:val="clear"/>
            <w:tcMar>
              <w:top w:type="dxa" w:w="100"/>
              <w:left w:type="dxa" w:w="120"/>
              <w:bottom w:type="dxa" w:w="100"/>
              <w:right w:type="dxa" w:w="120"/>
            </w:tcMar>
          </w:tcPr>
          <w:p>
            <w:r>
              <w:rPr>
                <w:b/>
                <w:bCs/>
                <w:color w:val="FFFFFF"/>
                <w:sz w:val="20"/>
                <w:szCs w:val="20"/>
              </w:rPr>
              <w:t xml:space="preserve">Existing approach</w:t>
            </w:r>
          </w:p>
        </w:tc>
        <w:tc>
          <w:tcPr>
            <w:tcW w:type="dxa" w:w="3100"/>
            <w:shd w:fill="0B2545" w:val="clear"/>
            <w:tcMar>
              <w:top w:type="dxa" w:w="100"/>
              <w:left w:type="dxa" w:w="120"/>
              <w:bottom w:type="dxa" w:w="100"/>
              <w:right w:type="dxa" w:w="120"/>
            </w:tcMar>
          </w:tcPr>
          <w:p>
            <w:r>
              <w:rPr>
                <w:b/>
                <w:bCs/>
                <w:color w:val="FFFFFF"/>
                <w:sz w:val="20"/>
                <w:szCs w:val="20"/>
              </w:rPr>
              <w:t xml:space="preserve">What it tells you</w:t>
            </w:r>
          </w:p>
        </w:tc>
        <w:tc>
          <w:tcPr>
            <w:tcW w:type="dxa" w:w="3050"/>
            <w:shd w:fill="0B2545" w:val="clear"/>
            <w:tcMar>
              <w:top w:type="dxa" w:w="100"/>
              <w:left w:type="dxa" w:w="120"/>
              <w:bottom w:type="dxa" w:w="100"/>
              <w:right w:type="dxa" w:w="120"/>
            </w:tcMar>
          </w:tcPr>
          <w:p>
            <w:r>
              <w:rPr>
                <w:b/>
                <w:bCs/>
                <w:color w:val="FFFFFF"/>
                <w:sz w:val="20"/>
                <w:szCs w:val="20"/>
              </w:rPr>
              <w:t xml:space="preserve">What it misses</w:t>
            </w:r>
          </w:p>
        </w:tc>
      </w:tr>
      <w:tr>
        <w:tc>
          <w:tcPr>
            <w:tcW w:type="dxa" w:w="3200"/>
            <w:tcMar>
              <w:top w:type="dxa" w:w="100"/>
              <w:left w:type="dxa" w:w="120"/>
              <w:bottom w:type="dxa" w:w="100"/>
              <w:right w:type="dxa" w:w="120"/>
            </w:tcMar>
          </w:tcPr>
          <w:p>
            <w:r>
              <w:rPr>
                <w:color w:val="000000"/>
                <w:sz w:val="20"/>
                <w:szCs w:val="20"/>
              </w:rPr>
              <w:t xml:space="preserve">Weather / rainfall forecasting apps</w:t>
            </w:r>
          </w:p>
        </w:tc>
        <w:tc>
          <w:tcPr>
            <w:tcW w:type="dxa" w:w="3100"/>
            <w:tcMar>
              <w:top w:type="dxa" w:w="100"/>
              <w:left w:type="dxa" w:w="120"/>
              <w:bottom w:type="dxa" w:w="100"/>
              <w:right w:type="dxa" w:w="120"/>
            </w:tcMar>
          </w:tcPr>
          <w:p>
            <w:r>
              <w:rPr>
                <w:color w:val="000000"/>
                <w:sz w:val="20"/>
                <w:szCs w:val="20"/>
              </w:rPr>
              <w:t xml:space="preserve">How much rain is expected, city-wide</w:t>
            </w:r>
          </w:p>
        </w:tc>
        <w:tc>
          <w:tcPr>
            <w:tcW w:type="dxa" w:w="3050"/>
            <w:tcMar>
              <w:top w:type="dxa" w:w="100"/>
              <w:left w:type="dxa" w:w="120"/>
              <w:bottom w:type="dxa" w:w="100"/>
              <w:right w:type="dxa" w:w="120"/>
            </w:tcMar>
          </w:tcPr>
          <w:p>
            <w:r>
              <w:rPr>
                <w:color w:val="000000"/>
                <w:sz w:val="20"/>
                <w:szCs w:val="20"/>
              </w:rPr>
              <w:t xml:space="preserve">Whether the specific drainage network can actually handle it</w:t>
            </w:r>
          </w:p>
        </w:tc>
      </w:tr>
      <w:tr>
        <w:tc>
          <w:tcPr>
            <w:tcW w:type="dxa" w:w="3200"/>
            <w:shd w:fill="EAF2F1" w:val="clear"/>
            <w:tcMar>
              <w:top w:type="dxa" w:w="100"/>
              <w:left w:type="dxa" w:w="120"/>
              <w:bottom w:type="dxa" w:w="100"/>
              <w:right w:type="dxa" w:w="120"/>
            </w:tcMar>
          </w:tcPr>
          <w:p>
            <w:r>
              <w:rPr>
                <w:color w:val="000000"/>
                <w:sz w:val="20"/>
                <w:szCs w:val="20"/>
              </w:rPr>
              <w:t xml:space="preserve">Static flood-risk maps</w:t>
            </w:r>
          </w:p>
        </w:tc>
        <w:tc>
          <w:tcPr>
            <w:tcW w:type="dxa" w:w="3100"/>
            <w:shd w:fill="EAF2F1" w:val="clear"/>
            <w:tcMar>
              <w:top w:type="dxa" w:w="100"/>
              <w:left w:type="dxa" w:w="120"/>
              <w:bottom w:type="dxa" w:w="100"/>
              <w:right w:type="dxa" w:w="120"/>
            </w:tcMar>
          </w:tcPr>
          <w:p>
            <w:r>
              <w:rPr>
                <w:color w:val="000000"/>
                <w:sz w:val="20"/>
                <w:szCs w:val="20"/>
              </w:rPr>
              <w:t xml:space="preserve">Which zones are historically flood-prone</w:t>
            </w:r>
          </w:p>
        </w:tc>
        <w:tc>
          <w:tcPr>
            <w:tcW w:type="dxa" w:w="3050"/>
            <w:shd w:fill="EAF2F1" w:val="clear"/>
            <w:tcMar>
              <w:top w:type="dxa" w:w="100"/>
              <w:left w:type="dxa" w:w="120"/>
              <w:bottom w:type="dxa" w:w="100"/>
              <w:right w:type="dxa" w:w="120"/>
            </w:tcMar>
          </w:tcPr>
          <w:p>
            <w:r>
              <w:rPr>
                <w:color w:val="000000"/>
                <w:sz w:val="20"/>
                <w:szCs w:val="20"/>
              </w:rPr>
              <w:t xml:space="preserve">Real-time drain condition; maps go stale within a single storm</w:t>
            </w:r>
          </w:p>
        </w:tc>
      </w:tr>
      <w:tr>
        <w:tc>
          <w:tcPr>
            <w:tcW w:type="dxa" w:w="3200"/>
            <w:tcMar>
              <w:top w:type="dxa" w:w="100"/>
              <w:left w:type="dxa" w:w="120"/>
              <w:bottom w:type="dxa" w:w="100"/>
              <w:right w:type="dxa" w:w="120"/>
            </w:tcMar>
          </w:tcPr>
          <w:p>
            <w:r>
              <w:rPr>
                <w:color w:val="000000"/>
                <w:sz w:val="20"/>
                <w:szCs w:val="20"/>
              </w:rPr>
              <w:t xml:space="preserve">Isolated water-level sensors</w:t>
            </w:r>
          </w:p>
        </w:tc>
        <w:tc>
          <w:tcPr>
            <w:tcW w:type="dxa" w:w="3100"/>
            <w:tcMar>
              <w:top w:type="dxa" w:w="100"/>
              <w:left w:type="dxa" w:w="120"/>
              <w:bottom w:type="dxa" w:w="100"/>
              <w:right w:type="dxa" w:w="120"/>
            </w:tcMar>
          </w:tcPr>
          <w:p>
            <w:r>
              <w:rPr>
                <w:color w:val="000000"/>
                <w:sz w:val="20"/>
                <w:szCs w:val="20"/>
              </w:rPr>
              <w:t xml:space="preserve">Water is already rising at one point</w:t>
            </w:r>
          </w:p>
        </w:tc>
        <w:tc>
          <w:tcPr>
            <w:tcW w:type="dxa" w:w="3050"/>
            <w:tcMar>
              <w:top w:type="dxa" w:w="100"/>
              <w:left w:type="dxa" w:w="120"/>
              <w:bottom w:type="dxa" w:w="100"/>
              <w:right w:type="dxa" w:w="120"/>
            </w:tcMar>
          </w:tcPr>
          <w:p>
            <w:r>
              <w:rPr>
                <w:color w:val="000000"/>
                <w:sz w:val="20"/>
                <w:szCs w:val="20"/>
              </w:rPr>
              <w:t xml:space="preserve">No system-wide view, no cause, no prioritised recommendation</w:t>
            </w:r>
          </w:p>
        </w:tc>
      </w:tr>
      <w:tr>
        <w:tc>
          <w:tcPr>
            <w:tcW w:type="dxa" w:w="3200"/>
            <w:shd w:fill="EAF2F1" w:val="clear"/>
            <w:tcMar>
              <w:top w:type="dxa" w:w="100"/>
              <w:left w:type="dxa" w:w="120"/>
              <w:bottom w:type="dxa" w:w="100"/>
              <w:right w:type="dxa" w:w="120"/>
            </w:tcMar>
          </w:tcPr>
          <w:p>
            <w:r>
              <w:rPr>
                <w:color w:val="000000"/>
                <w:sz w:val="20"/>
                <w:szCs w:val="20"/>
              </w:rPr>
              <w:t xml:space="preserve">“Smart drain” pilot projects</w:t>
            </w:r>
          </w:p>
        </w:tc>
        <w:tc>
          <w:tcPr>
            <w:tcW w:type="dxa" w:w="3100"/>
            <w:shd w:fill="EAF2F1" w:val="clear"/>
            <w:tcMar>
              <w:top w:type="dxa" w:w="100"/>
              <w:left w:type="dxa" w:w="120"/>
              <w:bottom w:type="dxa" w:w="100"/>
              <w:right w:type="dxa" w:w="120"/>
            </w:tcMar>
          </w:tcPr>
          <w:p>
            <w:r>
              <w:rPr>
                <w:color w:val="000000"/>
                <w:sz w:val="20"/>
                <w:szCs w:val="20"/>
              </w:rPr>
              <w:t xml:space="preserve">Blockage or level at instrumented drains</w:t>
            </w:r>
          </w:p>
        </w:tc>
        <w:tc>
          <w:tcPr>
            <w:tcW w:type="dxa" w:w="3050"/>
            <w:shd w:fill="EAF2F1" w:val="clear"/>
            <w:tcMar>
              <w:top w:type="dxa" w:w="100"/>
              <w:left w:type="dxa" w:w="120"/>
              <w:bottom w:type="dxa" w:w="100"/>
              <w:right w:type="dxa" w:w="120"/>
            </w:tcMar>
          </w:tcPr>
          <w:p>
            <w:r>
              <w:rPr>
                <w:color w:val="000000"/>
                <w:sz w:val="20"/>
                <w:szCs w:val="20"/>
              </w:rPr>
              <w:t xml:space="preserve">Rarely combined with cameras, satellite data, GIS and forecasting into one decision engine</w:t>
            </w:r>
          </w:p>
        </w:tc>
      </w:tr>
    </w:tbl>
    <w:p>
      <w:pPr>
        <w:spacing w:after="160" w:line="288"/>
        <w:jc w:val="both"/>
      </w:pPr>
      <w:r>
        <w:rPr>
          <w:b w:val="false"/>
          <w:bCs w:val="false"/>
          <w:i w:val="false"/>
          <w:iCs w:val="false"/>
          <w:color w:val="000000"/>
          <w:sz w:val="22"/>
          <w:szCs w:val="22"/>
        </w:rPr>
        <w:t xml:space="preserve">The judging brief for this challenge track asks entrants to consider how data, sensors, or new materials could help communities predict, prepare for, and recover from extreme weather faster. The gap in the market is not any single data source — it is the fusion of all of them into one continuously updating model of the city's actual physical drainage capacity, paired with a recommendation engine that tells a human what to do about it.</w:t>
      </w:r>
    </w:p>
    <w:p>
      <w:pPr>
        <w:pStyle w:val="Heading1"/>
        <w:pBdr>
          <w:bottom w:val="single" w:color="0E7C7B" w:sz="8" w:space="4"/>
        </w:pBdr>
        <w:spacing w:after="240" w:before="480"/>
      </w:pPr>
      <w:r>
        <w:rPr>
          <w:b/>
          <w:bCs/>
          <w:color w:val="0B2545"/>
          <w:sz w:val="32"/>
          <w:szCs w:val="32"/>
        </w:rPr>
        <w:t xml:space="preserve">3. The Innovation: A Digital Twin, Not a Warning App</w:t>
      </w:r>
    </w:p>
    <w:p>
      <w:pPr>
        <w:pStyle w:val="Heading2"/>
        <w:spacing w:after="160" w:before="360"/>
      </w:pPr>
      <w:r>
        <w:rPr>
          <w:b/>
          <w:bCs/>
          <w:color w:val="0E7C7B"/>
          <w:sz w:val="26"/>
          <w:szCs w:val="26"/>
        </w:rPr>
        <w:t xml:space="preserve">3.1 Core positioning statement</w:t>
      </w:r>
    </w:p>
    <w:p>
      <w:pPr>
        <w:pBdr>
          <w:left w:val="single" w:color="0E7C7B" w:sz="16" w:space="8"/>
        </w:pBdr>
        <w:spacing w:after="200" w:before="120"/>
        <w:ind w:left="360"/>
      </w:pPr>
      <w:r>
        <w:rPr>
          <w:i/>
          <w:iCs/>
          <w:color w:val="595959"/>
          <w:sz w:val="22"/>
          <w:szCs w:val="22"/>
        </w:rPr>
        <w:t xml:space="preserve">FloodSense AI does not predict rain. It predicts the moment and location where a city's drainage system will fail — street by street, drain by drain — 30 to 90 minutes before the water becomes visible, and tells the city exactly what to do about it.</w:t>
      </w:r>
    </w:p>
    <w:p>
      <w:pPr>
        <w:pStyle w:val="Heading2"/>
        <w:spacing w:after="160" w:before="360"/>
      </w:pPr>
      <w:r>
        <w:rPr>
          <w:b/>
          <w:bCs/>
          <w:color w:val="0E7C7B"/>
          <w:sz w:val="26"/>
          <w:szCs w:val="26"/>
        </w:rPr>
        <w:t xml:space="preserve">3.2 What makes this different from a typical entry</w:t>
      </w:r>
    </w:p>
    <w:p>
      <w:pPr>
        <w:pStyle w:val="ListParagraph"/>
        <w:numPr>
          <w:ilvl w:val="0"/>
          <w:numId w:val="3"/>
        </w:numPr>
        <w:spacing w:after="100" w:line="276"/>
      </w:pPr>
      <w:r>
        <w:rPr>
          <w:sz w:val="22"/>
          <w:szCs w:val="22"/>
        </w:rPr>
        <w:t xml:space="preserve">Asset-level, not city-level: predictions are attached to a named drain ID and road segment, not a vague “your area may flood” push notification.</w:t>
      </w:r>
    </w:p>
    <w:p>
      <w:pPr>
        <w:pStyle w:val="ListParagraph"/>
        <w:numPr>
          <w:ilvl w:val="0"/>
          <w:numId w:val="3"/>
        </w:numPr>
        <w:spacing w:after="100" w:line="276"/>
      </w:pPr>
      <w:r>
        <w:rPr>
          <w:sz w:val="22"/>
          <w:szCs w:val="22"/>
        </w:rPr>
        <w:t xml:space="preserve">Cause-aware: the system distinguishes “too much rain for any drain” from “normal rain, but this specific drain is 85% blocked” — which require completely different responses.</w:t>
      </w:r>
    </w:p>
    <w:p>
      <w:pPr>
        <w:pStyle w:val="ListParagraph"/>
        <w:numPr>
          <w:ilvl w:val="0"/>
          <w:numId w:val="3"/>
        </w:numPr>
        <w:spacing w:after="100" w:line="276"/>
      </w:pPr>
      <w:r>
        <w:rPr>
          <w:sz w:val="22"/>
          <w:szCs w:val="22"/>
        </w:rPr>
        <w:t xml:space="preserve">Closed-loop: prediction automatically generates a ranked, actionable recommendation (dispatch a crew, close a road, open a floodgate, pre-position a pump), rather than stopping at an alert.</w:t>
      </w:r>
    </w:p>
    <w:p>
      <w:pPr>
        <w:pStyle w:val="ListParagraph"/>
        <w:numPr>
          <w:ilvl w:val="0"/>
          <w:numId w:val="3"/>
        </w:numPr>
        <w:spacing w:after="100" w:line="276"/>
      </w:pPr>
      <w:r>
        <w:rPr>
          <w:sz w:val="22"/>
          <w:szCs w:val="22"/>
        </w:rPr>
        <w:t xml:space="preserve">Equity-weighted prioritisation: when multiple locations are at risk simultaneously, the system ranks them by who is affected — hospitals, schools, emergency routes, low-income neighbourhoods with less resilience — not simply by water depth.</w:t>
      </w:r>
    </w:p>
    <w:p>
      <w:pPr>
        <w:pStyle w:val="ListParagraph"/>
        <w:numPr>
          <w:ilvl w:val="0"/>
          <w:numId w:val="3"/>
        </w:numPr>
        <w:spacing w:after="100" w:line="276"/>
      </w:pPr>
      <w:r>
        <w:rPr>
          <w:sz w:val="22"/>
          <w:szCs w:val="22"/>
        </w:rPr>
        <w:t xml:space="preserve">Built on infrastructure cities already own: existing CCTV, existing GIS layers, existing weather feeds. New hardware is limited to inexpensive in-drain sensors, which keeps citywide deployment realistic on a municipal budget.</w:t>
      </w:r>
    </w:p>
    <w:p>
      <w:pPr>
        <w:pStyle w:val="Heading2"/>
        <w:spacing w:after="160" w:before="360"/>
      </w:pPr>
      <w:r>
        <w:rPr>
          <w:b/>
          <w:bCs/>
          <w:color w:val="0E7C7B"/>
          <w:sz w:val="26"/>
          <w:szCs w:val="26"/>
        </w:rPr>
        <w:t xml:space="preserve">3.3 The reframed question</w:t>
      </w:r>
    </w:p>
    <w:p>
      <w:pPr>
        <w:spacing w:after="160" w:line="288"/>
        <w:jc w:val="both"/>
      </w:pPr>
      <w:r>
        <w:rPr>
          <w:b w:val="false"/>
          <w:bCs w:val="false"/>
          <w:i w:val="false"/>
          <w:iCs w:val="false"/>
          <w:color w:val="000000"/>
          <w:sz w:val="22"/>
          <w:szCs w:val="22"/>
        </w:rPr>
        <w:t xml:space="preserve">Every part of the system exists to answer one operational question that no widely deployed product currently answers: given everything we know right now about the sky, the ground, and the pipes, which exact drain fails first, when, and what is the cheapest action that prevents the worst downstream consequence?</w:t>
      </w:r>
    </w:p>
    <w:p>
      <w:pPr>
        <w:pStyle w:val="Heading1"/>
        <w:pBdr>
          <w:bottom w:val="single" w:color="0E7C7B" w:sz="8" w:space="4"/>
        </w:pBdr>
        <w:spacing w:after="240" w:before="480"/>
      </w:pPr>
      <w:r>
        <w:rPr>
          <w:b/>
          <w:bCs/>
          <w:color w:val="0B2545"/>
          <w:sz w:val="32"/>
          <w:szCs w:val="32"/>
        </w:rPr>
        <w:t xml:space="preserve">4. System Architecture</w:t>
      </w:r>
    </w:p>
    <w:p>
      <w:pPr>
        <w:spacing w:after="160" w:line="288"/>
        <w:jc w:val="both"/>
      </w:pPr>
      <w:r>
        <w:rPr>
          <w:b w:val="false"/>
          <w:bCs w:val="false"/>
          <w:i w:val="false"/>
          <w:iCs w:val="false"/>
          <w:color w:val="000000"/>
          <w:sz w:val="22"/>
          <w:szCs w:val="22"/>
        </w:rPr>
        <w:t xml:space="preserve">FloodSense AI is organised into five layers: data ingestion, the digital twin / simulation core, the predictive model, the decision-support and prioritisation engine, and the interface layer used by city operators and the public.</w:t>
      </w:r>
    </w:p>
    <w:p>
      <w:pPr>
        <w:pStyle w:val="Heading2"/>
        <w:spacing w:after="160" w:before="360"/>
      </w:pPr>
      <w:r>
        <w:rPr>
          <w:b/>
          <w:bCs/>
          <w:color w:val="0E7C7B"/>
          <w:sz w:val="26"/>
          <w:szCs w:val="26"/>
        </w:rPr>
        <w:t xml:space="preserve">4.1 Layer 1 — Data ingestion</w:t>
      </w:r>
    </w:p>
    <w:p>
      <w:pPr>
        <w:pStyle w:val="Heading3"/>
        <w:spacing w:after="120" w:before="240"/>
      </w:pPr>
      <w:r>
        <w:rPr>
          <w:b/>
          <w:bCs/>
          <w:i w:val="false"/>
          <w:iCs w:val="false"/>
          <w:color w:val="0B2545"/>
          <w:sz w:val="23"/>
          <w:szCs w:val="23"/>
        </w:rPr>
        <w:t xml:space="preserve">4.1.1 Weather data</w:t>
      </w:r>
    </w:p>
    <w:p>
      <w:pPr>
        <w:spacing w:after="160" w:line="288"/>
        <w:jc w:val="both"/>
      </w:pPr>
      <w:r>
        <w:rPr>
          <w:b w:val="false"/>
          <w:bCs w:val="false"/>
          <w:i w:val="false"/>
          <w:iCs w:val="false"/>
          <w:color w:val="000000"/>
          <w:sz w:val="22"/>
          <w:szCs w:val="22"/>
        </w:rPr>
        <w:t xml:space="preserve">Rainfall intensity and forecast, snowfall accumulation, air and ground temperature, humidity and wind are pulled from open meteorological APIs (e.g. national weather services, Open-Meteo, or similar free tiers suitable for a prototype). Wind is included because it materially affects where surface leaves and litter accumulate, which in turn predicts where drains will clog next.</w:t>
      </w:r>
    </w:p>
    <w:p>
      <w:pPr>
        <w:pStyle w:val="Heading3"/>
        <w:spacing w:after="120" w:before="240"/>
      </w:pPr>
      <w:r>
        <w:rPr>
          <w:b/>
          <w:bCs/>
          <w:i w:val="false"/>
          <w:iCs w:val="false"/>
          <w:color w:val="0B2545"/>
          <w:sz w:val="23"/>
          <w:szCs w:val="23"/>
        </w:rPr>
        <w:t xml:space="preserve">4.1.2 In-drain IoT sensors</w:t>
      </w:r>
    </w:p>
    <w:p>
      <w:pPr>
        <w:spacing w:after="160" w:line="288"/>
        <w:jc w:val="both"/>
      </w:pPr>
      <w:r>
        <w:rPr>
          <w:b w:val="false"/>
          <w:bCs w:val="false"/>
          <w:i w:val="false"/>
          <w:iCs w:val="false"/>
          <w:color w:val="000000"/>
          <w:sz w:val="22"/>
          <w:szCs w:val="22"/>
        </w:rPr>
        <w:t xml:space="preserve">A low-cost sensor module fitted to each instrumented drain measures water level (ultrasonic or pressure sensor), flow speed (simple paddlewheel or Doppler sensor), an estimated blockage percentage (derived from the gap between expected and observed flow given known rainfall), and temperature (to flag ice risk). Each unit reports over a low-power wide-area network (LoRaWAN or NB-IoT) so it can run for months on a small battery or solar cell without a wired connection — essential for retrofitting existing infrastructure without expensive trenching.</w:t>
      </w:r>
    </w:p>
    <w:p>
      <w:pPr>
        <w:pStyle w:val="Heading3"/>
        <w:spacing w:after="120" w:before="240"/>
      </w:pPr>
      <w:r>
        <w:rPr>
          <w:b/>
          <w:bCs/>
          <w:i w:val="false"/>
          <w:iCs w:val="false"/>
          <w:color w:val="0B2545"/>
          <w:sz w:val="23"/>
          <w:szCs w:val="23"/>
        </w:rPr>
        <w:t xml:space="preserve">4.1.3 Computer vision on existing CCTV</w:t>
      </w:r>
    </w:p>
    <w:p>
      <w:pPr>
        <w:spacing w:after="160" w:line="288"/>
        <w:jc w:val="both"/>
      </w:pPr>
      <w:r>
        <w:rPr>
          <w:b w:val="false"/>
          <w:bCs w:val="false"/>
          <w:i w:val="false"/>
          <w:iCs w:val="false"/>
          <w:color w:val="000000"/>
          <w:sz w:val="22"/>
          <w:szCs w:val="22"/>
        </w:rPr>
        <w:t xml:space="preserve">Cities already operate traffic and public-safety cameras near many intersections and drains. A lightweight vision model (a fine-tuned, small object-detection network such as a MobileNet or YOLO-nano variant, feasible to run on a Raspberry Pi or a cloud inference endpoint) analyses existing camera feeds to detect leaf and litter accumulation at grates, standing water on road surfaces, and visually obvious blockages. This adds coverage at zero incremental hardware cost anywhere a suitable camera already exists.</w:t>
      </w:r>
    </w:p>
    <w:p>
      <w:pPr>
        <w:pStyle w:val="Heading3"/>
        <w:spacing w:after="120" w:before="240"/>
      </w:pPr>
      <w:r>
        <w:rPr>
          <w:b/>
          <w:bCs/>
          <w:i w:val="false"/>
          <w:iCs w:val="false"/>
          <w:color w:val="0B2545"/>
          <w:sz w:val="23"/>
          <w:szCs w:val="23"/>
        </w:rPr>
        <w:t xml:space="preserve">4.1.4 Satellite and remote-sensing data</w:t>
      </w:r>
    </w:p>
    <w:p>
      <w:pPr>
        <w:spacing w:after="160" w:line="288"/>
        <w:jc w:val="both"/>
      </w:pPr>
      <w:r>
        <w:rPr>
          <w:b w:val="false"/>
          <w:bCs w:val="false"/>
          <w:i w:val="false"/>
          <w:iCs w:val="false"/>
          <w:color w:val="000000"/>
          <w:sz w:val="22"/>
          <w:szCs w:val="22"/>
        </w:rPr>
        <w:t xml:space="preserve">Freely available satellite products (e.g. Sentinel-1/2 style optical and radar imagery, and existing snow-cover and soil-moisture products) provide city-wide snow coverage, soil moisture / ground saturation, and confirmation of already-flooded areas. This layer fills the gaps between ground sensors and gives the model a citywide, not just point-based, picture of how saturated the ground already is.</w:t>
      </w:r>
    </w:p>
    <w:p>
      <w:pPr>
        <w:pStyle w:val="Heading3"/>
        <w:spacing w:after="120" w:before="240"/>
      </w:pPr>
      <w:r>
        <w:rPr>
          <w:b/>
          <w:bCs/>
          <w:i w:val="false"/>
          <w:iCs w:val="false"/>
          <w:color w:val="0B2545"/>
          <w:sz w:val="23"/>
          <w:szCs w:val="23"/>
        </w:rPr>
        <w:t xml:space="preserve">4.1.5 GIS and terrain data</w:t>
      </w:r>
    </w:p>
    <w:p>
      <w:pPr>
        <w:spacing w:after="160" w:line="288"/>
        <w:jc w:val="both"/>
      </w:pPr>
      <w:r>
        <w:rPr>
          <w:b w:val="false"/>
          <w:bCs w:val="false"/>
          <w:i w:val="false"/>
          <w:iCs w:val="false"/>
          <w:color w:val="000000"/>
          <w:sz w:val="22"/>
          <w:szCs w:val="22"/>
        </w:rPr>
        <w:t xml:space="preserve">A geographic information layer supplies road elevation, slope, the as-built drainage pipe network, and building footprints. This is what lets the model reason spatially: water always flows toward the same low points, and the terrain layer is what turns a point sensor reading into a street-level flood-extent prediction.</w:t>
      </w:r>
    </w:p>
    <w:p>
      <w:pPr>
        <w:pStyle w:val="Heading2"/>
        <w:spacing w:after="160" w:before="360"/>
      </w:pPr>
      <w:r>
        <w:rPr>
          <w:b/>
          <w:bCs/>
          <w:color w:val="0E7C7B"/>
          <w:sz w:val="26"/>
          <w:szCs w:val="26"/>
        </w:rPr>
        <w:t xml:space="preserve">4.2 Layer 2 — The digital twin / simulation core</w:t>
      </w:r>
    </w:p>
    <w:p>
      <w:pPr>
        <w:spacing w:after="160" w:line="288"/>
        <w:jc w:val="both"/>
      </w:pPr>
      <w:r>
        <w:rPr>
          <w:b w:val="false"/>
          <w:bCs w:val="false"/>
          <w:i w:val="false"/>
          <w:iCs w:val="false"/>
          <w:color w:val="000000"/>
          <w:sz w:val="22"/>
          <w:szCs w:val="22"/>
        </w:rPr>
        <w:t xml:space="preserve">The digital twin is a continuously updated virtual replica of the city's drainage network, combining a physical hydrology-and-hydraulics model (how water moves through pipes and over terrain, based on well-established stormwater engineering equations such as Manning's equation and simplified 2D shallow-water flood-spread rules) with a machine-learning layer trained on historical sensor and incident data to correct the physical model's blind spots (for example, biasing predictions at drains with a known history of under-reported blockage). Every few minutes the twin re-runs a short-horizon “what happens if 20mm more rain falls in the next hour” simulation across the whole monitored network, rather than waiting for a human to ask.</w:t>
      </w:r>
    </w:p>
    <w:p>
      <w:pPr>
        <w:pStyle w:val="Heading2"/>
        <w:spacing w:after="160" w:before="360"/>
      </w:pPr>
      <w:r>
        <w:rPr>
          <w:b/>
          <w:bCs/>
          <w:color w:val="0E7C7B"/>
          <w:sz w:val="26"/>
          <w:szCs w:val="26"/>
        </w:rPr>
        <w:t xml:space="preserve">4.3 Layer 3 — Predictive model</w:t>
      </w:r>
    </w:p>
    <w:p>
      <w:pPr>
        <w:spacing w:after="160" w:line="288"/>
        <w:jc w:val="both"/>
      </w:pPr>
      <w:r>
        <w:rPr>
          <w:b w:val="false"/>
          <w:bCs w:val="false"/>
          <w:i w:val="false"/>
          <w:iCs w:val="false"/>
          <w:color w:val="000000"/>
          <w:sz w:val="22"/>
          <w:szCs w:val="22"/>
        </w:rPr>
        <w:t xml:space="preserve">The predictive layer converts the digital twin's simulation output into a ranked, time-stamped list of expected failures: which drain ID will exceed capacity, the estimated minutes until surface water appears, and an estimated severity band (nuisance ponding, road closure, or structural/health-risk flooding). The model is explicitly tuned to a 30–90 minute prediction horizon — short enough to be based on real, measured conditions rather than uncertain long-range rainfall forecasts, but long enough for a crew or a road-closure order to actually reach the site before water does.</w:t>
      </w:r>
    </w:p>
    <w:p>
      <w:pPr>
        <w:pStyle w:val="Heading2"/>
        <w:spacing w:after="160" w:before="360"/>
      </w:pPr>
      <w:r>
        <w:rPr>
          <w:b/>
          <w:bCs/>
          <w:color w:val="0E7C7B"/>
          <w:sz w:val="26"/>
          <w:szCs w:val="26"/>
        </w:rPr>
        <w:t xml:space="preserve">4.4 Layer 4 — Decision-support and prioritisation engine</w:t>
      </w:r>
    </w:p>
    <w:p>
      <w:pPr>
        <w:spacing w:after="160" w:line="288"/>
        <w:jc w:val="both"/>
      </w:pPr>
      <w:r>
        <w:rPr>
          <w:b w:val="false"/>
          <w:bCs w:val="false"/>
          <w:i w:val="false"/>
          <w:iCs w:val="false"/>
          <w:color w:val="000000"/>
          <w:sz w:val="22"/>
          <w:szCs w:val="22"/>
        </w:rPr>
        <w:t xml:space="preserve">This is the layer that turns a prediction into an instruction. For every predicted failure, the engine proposes one of a small set of concrete actions, matched to the diagnosed cause: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0B2545" w:val="clear"/>
            <w:tcMar>
              <w:top w:type="dxa" w:w="100"/>
              <w:left w:type="dxa" w:w="120"/>
              <w:bottom w:type="dxa" w:w="100"/>
              <w:right w:type="dxa" w:w="120"/>
            </w:tcMar>
          </w:tcPr>
          <w:p>
            <w:r>
              <w:rPr>
                <w:b/>
                <w:bCs/>
                <w:color w:val="FFFFFF"/>
                <w:sz w:val="20"/>
                <w:szCs w:val="20"/>
              </w:rPr>
              <w:t xml:space="preserve">Diagnosed condition</w:t>
            </w:r>
          </w:p>
        </w:tc>
        <w:tc>
          <w:tcPr>
            <w:tcW w:type="dxa" w:w="4650"/>
            <w:shd w:fill="0B2545" w:val="clear"/>
            <w:tcMar>
              <w:top w:type="dxa" w:w="100"/>
              <w:left w:type="dxa" w:w="120"/>
              <w:bottom w:type="dxa" w:w="100"/>
              <w:right w:type="dxa" w:w="120"/>
            </w:tcMar>
          </w:tcPr>
          <w:p>
            <w:r>
              <w:rPr>
                <w:b/>
                <w:bCs/>
                <w:color w:val="FFFFFF"/>
                <w:sz w:val="20"/>
                <w:szCs w:val="20"/>
              </w:rPr>
              <w:t xml:space="preserve">Recommended action</w:t>
            </w:r>
          </w:p>
        </w:tc>
      </w:tr>
      <w:tr>
        <w:tc>
          <w:tcPr>
            <w:tcW w:type="dxa" w:w="4700"/>
            <w:tcMar>
              <w:top w:type="dxa" w:w="100"/>
              <w:left w:type="dxa" w:w="120"/>
              <w:bottom w:type="dxa" w:w="100"/>
              <w:right w:type="dxa" w:w="120"/>
            </w:tcMar>
          </w:tcPr>
          <w:p>
            <w:r>
              <w:rPr>
                <w:color w:val="000000"/>
                <w:sz w:val="20"/>
                <w:szCs w:val="20"/>
              </w:rPr>
              <w:t xml:space="preserve">Drain X flagged 85% blocked, no other issue</w:t>
            </w:r>
          </w:p>
        </w:tc>
        <w:tc>
          <w:tcPr>
            <w:tcW w:type="dxa" w:w="4650"/>
            <w:tcMar>
              <w:top w:type="dxa" w:w="100"/>
              <w:left w:type="dxa" w:w="120"/>
              <w:bottom w:type="dxa" w:w="100"/>
              <w:right w:type="dxa" w:w="120"/>
            </w:tcMar>
          </w:tcPr>
          <w:p>
            <w:r>
              <w:rPr>
                <w:color w:val="000000"/>
                <w:sz w:val="20"/>
                <w:szCs w:val="20"/>
              </w:rPr>
              <w:t xml:space="preserve">Dispatch nearest cleaning crew to Drain X now, before water appears</w:t>
            </w:r>
          </w:p>
        </w:tc>
      </w:tr>
      <w:tr>
        <w:tc>
          <w:tcPr>
            <w:tcW w:type="dxa" w:w="4700"/>
            <w:shd w:fill="EAF2F1" w:val="clear"/>
            <w:tcMar>
              <w:top w:type="dxa" w:w="100"/>
              <w:left w:type="dxa" w:w="120"/>
              <w:bottom w:type="dxa" w:w="100"/>
              <w:right w:type="dxa" w:w="120"/>
            </w:tcMar>
          </w:tcPr>
          <w:p>
            <w:r>
              <w:rPr>
                <w:color w:val="000000"/>
                <w:sz w:val="20"/>
                <w:szCs w:val="20"/>
              </w:rPr>
              <w:t xml:space="preserve">Two roads both trending toward closure, limited crew capacity</w:t>
            </w:r>
          </w:p>
        </w:tc>
        <w:tc>
          <w:tcPr>
            <w:tcW w:type="dxa" w:w="4650"/>
            <w:shd w:fill="EAF2F1" w:val="clear"/>
            <w:tcMar>
              <w:top w:type="dxa" w:w="100"/>
              <w:left w:type="dxa" w:w="120"/>
              <w:bottom w:type="dxa" w:w="100"/>
              <w:right w:type="dxa" w:w="120"/>
            </w:tcMar>
          </w:tcPr>
          <w:p>
            <w:r>
              <w:rPr>
                <w:color w:val="000000"/>
                <w:sz w:val="20"/>
                <w:szCs w:val="20"/>
              </w:rPr>
              <w:t xml:space="preserve">Close Road A pre-emptively (lower emergency-route importance); protect Road B</w:t>
            </w:r>
          </w:p>
        </w:tc>
      </w:tr>
      <w:tr>
        <w:tc>
          <w:tcPr>
            <w:tcW w:type="dxa" w:w="4700"/>
            <w:tcMar>
              <w:top w:type="dxa" w:w="100"/>
              <w:left w:type="dxa" w:w="120"/>
              <w:bottom w:type="dxa" w:w="100"/>
              <w:right w:type="dxa" w:w="120"/>
            </w:tcMar>
          </w:tcPr>
          <w:p>
            <w:r>
              <w:rPr>
                <w:color w:val="000000"/>
                <w:sz w:val="20"/>
                <w:szCs w:val="20"/>
              </w:rPr>
              <w:t xml:space="preserve">Twin shows capacity exceeded even with drain clear</w:t>
            </w:r>
          </w:p>
        </w:tc>
        <w:tc>
          <w:tcPr>
            <w:tcW w:type="dxa" w:w="4650"/>
            <w:tcMar>
              <w:top w:type="dxa" w:w="100"/>
              <w:left w:type="dxa" w:w="120"/>
              <w:bottom w:type="dxa" w:w="100"/>
              <w:right w:type="dxa" w:w="120"/>
            </w:tcMar>
          </w:tcPr>
          <w:p>
            <w:r>
              <w:rPr>
                <w:color w:val="000000"/>
                <w:sz w:val="20"/>
                <w:szCs w:val="20"/>
              </w:rPr>
              <w:t xml:space="preserve">Recommend opening the relief floodgate / activating pumping station N</w:t>
            </w:r>
          </w:p>
        </w:tc>
      </w:tr>
      <w:tr>
        <w:tc>
          <w:tcPr>
            <w:tcW w:type="dxa" w:w="4700"/>
            <w:shd w:fill="EAF2F1" w:val="clear"/>
            <w:tcMar>
              <w:top w:type="dxa" w:w="100"/>
              <w:left w:type="dxa" w:w="120"/>
              <w:bottom w:type="dxa" w:w="100"/>
              <w:right w:type="dxa" w:w="120"/>
            </w:tcMar>
          </w:tcPr>
          <w:p>
            <w:r>
              <w:rPr>
                <w:color w:val="000000"/>
                <w:sz w:val="20"/>
                <w:szCs w:val="20"/>
              </w:rPr>
              <w:t xml:space="preserve">Rising water at a school pickup time</w:t>
            </w:r>
          </w:p>
        </w:tc>
        <w:tc>
          <w:tcPr>
            <w:tcW w:type="dxa" w:w="4650"/>
            <w:shd w:fill="EAF2F1" w:val="clear"/>
            <w:tcMar>
              <w:top w:type="dxa" w:w="100"/>
              <w:left w:type="dxa" w:w="120"/>
              <w:bottom w:type="dxa" w:w="100"/>
              <w:right w:type="dxa" w:w="120"/>
            </w:tcMar>
          </w:tcPr>
          <w:p>
            <w:r>
              <w:rPr>
                <w:color w:val="000000"/>
                <w:sz w:val="20"/>
                <w:szCs w:val="20"/>
              </w:rPr>
              <w:t xml:space="preserve">Alert school administration and traffic control in advance of the network-wide alert</w:t>
            </w:r>
          </w:p>
        </w:tc>
      </w:tr>
    </w:tbl>
    <w:p>
      <w:pPr>
        <w:spacing w:after="160" w:line="288"/>
        <w:jc w:val="both"/>
      </w:pPr>
      <w:r>
        <w:rPr>
          <w:b w:val="false"/>
          <w:bCs w:val="false"/>
          <w:i w:val="false"/>
          <w:iCs w:val="false"/>
          <w:color w:val="000000"/>
          <w:sz w:val="22"/>
          <w:szCs w:val="22"/>
        </w:rPr>
        <w:t xml:space="preserve">Where more than one location is at risk at the same time — the normal case during a real storm — the prioritisation model ranks them using a weighted score combining estimated population affected, presence of hospitals, clinics or emergency-response routes nearby, presence of schools, importance to traffic and freight flow, and estimated economic exposure of local businesses. This produces a single ordered work list for limited city crews, rather than a wall of equally-urgent-looking alerts that force a dispatcher to guess.</w:t>
      </w:r>
    </w:p>
    <w:p>
      <w:pPr>
        <w:pStyle w:val="Heading2"/>
        <w:spacing w:after="160" w:before="360"/>
      </w:pPr>
      <w:r>
        <w:rPr>
          <w:b/>
          <w:bCs/>
          <w:color w:val="0E7C7B"/>
          <w:sz w:val="26"/>
          <w:szCs w:val="26"/>
        </w:rPr>
        <w:t xml:space="preserve">4.5 Layer 5 — Interfaces</w:t>
      </w:r>
    </w:p>
    <w:p>
      <w:pPr>
        <w:pStyle w:val="ListParagraph"/>
        <w:numPr>
          <w:ilvl w:val="0"/>
          <w:numId w:val="3"/>
        </w:numPr>
        <w:spacing w:after="100" w:line="276"/>
      </w:pPr>
      <w:r>
        <w:rPr>
          <w:sz w:val="22"/>
          <w:szCs w:val="22"/>
        </w:rPr>
        <w:t xml:space="preserve">City operations dashboard: a live map of the monitored network with colour-coded risk, ranked action list, and one-tap dispatch/acknowledge workflow for public-works and emergency-management staff.</w:t>
      </w:r>
    </w:p>
    <w:p>
      <w:pPr>
        <w:pStyle w:val="ListParagraph"/>
        <w:numPr>
          <w:ilvl w:val="0"/>
          <w:numId w:val="3"/>
        </w:numPr>
        <w:spacing w:after="100" w:line="276"/>
      </w:pPr>
      <w:r>
        <w:rPr>
          <w:sz w:val="22"/>
          <w:szCs w:val="22"/>
        </w:rPr>
        <w:t xml:space="preserve">Public-facing layer: simplified, plain-language alerts (“Avoid Elm Street after 5pm — flooding expected”) pushed to residents in the immediately affected area only, avoiding blanket city-wide alert fatigue.</w:t>
      </w:r>
    </w:p>
    <w:p>
      <w:pPr>
        <w:pStyle w:val="ListParagraph"/>
        <w:numPr>
          <w:ilvl w:val="0"/>
          <w:numId w:val="3"/>
        </w:numPr>
        <w:spacing w:after="100" w:line="276"/>
      </w:pPr>
      <w:r>
        <w:rPr>
          <w:sz w:val="22"/>
          <w:szCs w:val="22"/>
        </w:rPr>
        <w:t xml:space="preserve">API layer: so the same predictions can feed navigation apps, school transport systems, or insurance and logistics partners without FloodSense AI having to build every downstream product itself.</w:t>
      </w:r>
    </w:p>
    <w:p>
      <w:pPr>
        <w:pStyle w:val="Heading1"/>
        <w:pBdr>
          <w:bottom w:val="single" w:color="0E7C7B" w:sz="8" w:space="4"/>
        </w:pBdr>
        <w:spacing w:after="240" w:before="480"/>
      </w:pPr>
      <w:r>
        <w:rPr>
          <w:b/>
          <w:bCs/>
          <w:color w:val="0B2545"/>
          <w:sz w:val="32"/>
          <w:szCs w:val="32"/>
        </w:rPr>
        <w:t xml:space="preserve">5. End-to-End Walkthrough: A Worked Example</w:t>
      </w:r>
    </w:p>
    <w:p>
      <w:pPr>
        <w:spacing w:after="160" w:line="288"/>
        <w:jc w:val="both"/>
      </w:pPr>
      <w:r>
        <w:rPr>
          <w:b w:val="false"/>
          <w:bCs w:val="false"/>
          <w:i w:val="false"/>
          <w:iCs w:val="false"/>
          <w:color w:val="000000"/>
          <w:sz w:val="22"/>
          <w:szCs w:val="22"/>
        </w:rPr>
        <w:t xml:space="preserve">To make the architecture concrete, consider a single afternoon storm on a demonstration city block containing one school, one clinic, and two parallel streets.</w:t>
      </w:r>
    </w:p>
    <w:p>
      <w:pPr>
        <w:pStyle w:val="ListParagraph"/>
        <w:numPr>
          <w:ilvl w:val="0"/>
          <w:numId w:val="2"/>
        </w:numPr>
        <w:spacing w:after="100" w:line="276"/>
      </w:pPr>
      <w:r>
        <w:rPr>
          <w:sz w:val="22"/>
          <w:szCs w:val="22"/>
        </w:rPr>
        <w:t xml:space="preserve">14:00 — Weather feed shows 15mm of rain expected in the next hour; soil-moisture layer shows ground already 70% saturated from the previous day.</w:t>
      </w:r>
    </w:p>
    <w:p>
      <w:pPr>
        <w:pStyle w:val="ListParagraph"/>
        <w:numPr>
          <w:ilvl w:val="0"/>
          <w:numId w:val="2"/>
        </w:numPr>
        <w:spacing w:after="100" w:line="276"/>
      </w:pPr>
      <w:r>
        <w:rPr>
          <w:sz w:val="22"/>
          <w:szCs w:val="22"/>
        </w:rPr>
        <w:t xml:space="preserve">14:05 — The digital twin runs a forward simulation and flags Drain 241 on Elm Street as trending toward 100% capacity within 45 minutes, based on a live sensor reading of 85% blockage combined with the rainfall forecast.</w:t>
      </w:r>
    </w:p>
    <w:p>
      <w:pPr>
        <w:pStyle w:val="ListParagraph"/>
        <w:numPr>
          <w:ilvl w:val="0"/>
          <w:numId w:val="2"/>
        </w:numPr>
        <w:spacing w:after="100" w:line="276"/>
      </w:pPr>
      <w:r>
        <w:rPr>
          <w:sz w:val="22"/>
          <w:szCs w:val="22"/>
        </w:rPr>
        <w:t xml:space="preserve">14:06 — The vision model, using the existing traffic camera at the same intersection, independently confirms visible leaf accumulation at the grate — corroborating the sensor reading and raising the model's confidence.</w:t>
      </w:r>
    </w:p>
    <w:p>
      <w:pPr>
        <w:pStyle w:val="ListParagraph"/>
        <w:numPr>
          <w:ilvl w:val="0"/>
          <w:numId w:val="2"/>
        </w:numPr>
        <w:spacing w:after="100" w:line="276"/>
      </w:pPr>
      <w:r>
        <w:rPr>
          <w:sz w:val="22"/>
          <w:szCs w:val="22"/>
        </w:rPr>
        <w:t xml:space="preserve">14:07 — The decision-support engine issues a single top-priority action: “Dispatch cleaning crew to Drain 241, Elm Street — estimated 45 minutes before road closure.” It ranks this above two lower-severity predictions elsewhere in the model city because Elm Street sits on the only vehicle route to the clinic.</w:t>
      </w:r>
    </w:p>
    <w:p>
      <w:pPr>
        <w:pStyle w:val="ListParagraph"/>
        <w:numPr>
          <w:ilvl w:val="0"/>
          <w:numId w:val="2"/>
        </w:numPr>
        <w:spacing w:after="100" w:line="276"/>
      </w:pPr>
      <w:r>
        <w:rPr>
          <w:sz w:val="22"/>
          <w:szCs w:val="22"/>
        </w:rPr>
        <w:t xml:space="preserve">14:20 — Crew clears the drain. The twin re-simulates with the corrected blockage value and downgrades Elm Street's risk automatically — no human has to manually close the alert.</w:t>
      </w:r>
    </w:p>
    <w:p>
      <w:pPr>
        <w:pStyle w:val="ListParagraph"/>
        <w:numPr>
          <w:ilvl w:val="0"/>
          <w:numId w:val="2"/>
        </w:numPr>
        <w:spacing w:after="100" w:line="276"/>
      </w:pPr>
      <w:r>
        <w:rPr>
          <w:sz w:val="22"/>
          <w:szCs w:val="22"/>
        </w:rPr>
        <w:t xml:space="preserve">14:40 — Had the crew not been dispatched, the twin's parallel simulation shows the road would have closed at approximately 14:47, forcing a five-minute detour for any ambulance travelling to the clinic — the exact outcome the system exists to prevent.</w:t>
      </w:r>
    </w:p>
    <w:p>
      <w:pPr>
        <w:spacing w:after="160" w:line="288"/>
        <w:jc w:val="both"/>
      </w:pPr>
      <w:r>
        <w:rPr>
          <w:b w:val="false"/>
          <w:bCs w:val="false"/>
          <w:i w:val="false"/>
          <w:iCs w:val="false"/>
          <w:color w:val="000000"/>
          <w:sz w:val="22"/>
          <w:szCs w:val="22"/>
        </w:rPr>
        <w:t xml:space="preserve">This example is deliberately small enough to be fully reproducible on a tabletop model or a single instrumented city block, which is what makes it achievable as a working proof of concept rather than a diagram of an idea.</w:t>
      </w:r>
    </w:p>
    <w:p>
      <w:pPr>
        <w:pStyle w:val="Heading1"/>
        <w:pBdr>
          <w:bottom w:val="single" w:color="0E7C7B" w:sz="8" w:space="4"/>
        </w:pBdr>
        <w:spacing w:after="240" w:before="480"/>
      </w:pPr>
      <w:r>
        <w:rPr>
          <w:b/>
          <w:bCs/>
          <w:color w:val="0B2545"/>
          <w:sz w:val="32"/>
          <w:szCs w:val="32"/>
        </w:rPr>
        <w:t xml:space="preserve">6. The MVP: What a High School Team Can Actually Build</w:t>
      </w:r>
    </w:p>
    <w:p>
      <w:pPr>
        <w:spacing w:after="160" w:line="288"/>
        <w:jc w:val="both"/>
      </w:pPr>
      <w:r>
        <w:rPr>
          <w:b w:val="false"/>
          <w:bCs w:val="false"/>
          <w:i w:val="false"/>
          <w:iCs w:val="false"/>
          <w:color w:val="000000"/>
          <w:sz w:val="22"/>
          <w:szCs w:val="22"/>
        </w:rPr>
        <w:t xml:space="preserve">A full citywide deployment is a multi-year municipal infrastructure project. The competition does not require that — it requires a working demonstration of the core idea, plus a credible, well-researched plan for how it would scale. The MVP below is scoped to be buildable by a 3–5 person student team before the entry deadline.</w:t>
      </w:r>
    </w:p>
    <w:p>
      <w:pPr>
        <w:pStyle w:val="Heading2"/>
        <w:spacing w:after="160" w:before="360"/>
      </w:pPr>
      <w:r>
        <w:rPr>
          <w:b/>
          <w:bCs/>
          <w:color w:val="0E7C7B"/>
          <w:sz w:val="26"/>
          <w:szCs w:val="26"/>
        </w:rPr>
        <w:t xml:space="preserve">6.1 Scope-reduction strategy</w:t>
      </w:r>
    </w:p>
    <w:p>
      <w:pPr>
        <w:pStyle w:val="ListParagraph"/>
        <w:numPr>
          <w:ilvl w:val="0"/>
          <w:numId w:val="3"/>
        </w:numPr>
        <w:spacing w:after="100" w:line="276"/>
      </w:pPr>
      <w:r>
        <w:rPr>
          <w:sz w:val="22"/>
          <w:szCs w:val="22"/>
        </w:rPr>
        <w:t xml:space="preserve">Model one city block, not a city: 2–4 “drains” (real or 3D-printed scale models), 2 roads, 1–2 landmark buildings (school/clinic).</w:t>
      </w:r>
    </w:p>
    <w:p>
      <w:pPr>
        <w:pStyle w:val="ListParagraph"/>
        <w:numPr>
          <w:ilvl w:val="0"/>
          <w:numId w:val="3"/>
        </w:numPr>
        <w:spacing w:after="100" w:line="276"/>
      </w:pPr>
      <w:r>
        <w:rPr>
          <w:sz w:val="22"/>
          <w:szCs w:val="22"/>
        </w:rPr>
        <w:t xml:space="preserve">Use 1–2 real IoT sensor units rather than a full network, and simulate the rest with recorded or synthetic sensor data to demonstrate what a full deployment would show.</w:t>
      </w:r>
    </w:p>
    <w:p>
      <w:pPr>
        <w:pStyle w:val="ListParagraph"/>
        <w:numPr>
          <w:ilvl w:val="0"/>
          <w:numId w:val="3"/>
        </w:numPr>
        <w:spacing w:after="100" w:line="276"/>
      </w:pPr>
      <w:r>
        <w:rPr>
          <w:sz w:val="22"/>
          <w:szCs w:val="22"/>
        </w:rPr>
        <w:t xml:space="preserve">Use one existing webcam or phone camera for the computer-vision blockage detector, rather than integrating with real municipal CCTV.</w:t>
      </w:r>
    </w:p>
    <w:p>
      <w:pPr>
        <w:pStyle w:val="ListParagraph"/>
        <w:numPr>
          <w:ilvl w:val="0"/>
          <w:numId w:val="3"/>
        </w:numPr>
        <w:spacing w:after="100" w:line="276"/>
      </w:pPr>
      <w:r>
        <w:rPr>
          <w:sz w:val="22"/>
          <w:szCs w:val="22"/>
        </w:rPr>
        <w:t xml:space="preserve">Replace true satellite feeds with a small set of pre-downloaded sample soil-moisture / snow-cover images to demonstrate how that data layer would be used.</w:t>
      </w:r>
    </w:p>
    <w:p>
      <w:pPr>
        <w:pStyle w:val="ListParagraph"/>
        <w:numPr>
          <w:ilvl w:val="0"/>
          <w:numId w:val="3"/>
        </w:numPr>
        <w:spacing w:after="100" w:line="276"/>
      </w:pPr>
      <w:r>
        <w:rPr>
          <w:sz w:val="22"/>
          <w:szCs w:val="22"/>
        </w:rPr>
        <w:t xml:space="preserve">Focus engineering effort on the parts judges can see working live: the sensor reading, the vision detection, and the dashboard's prediction-to-recommendation pipeline.</w:t>
      </w:r>
    </w:p>
    <w:p>
      <w:pPr>
        <w:pStyle w:val="Heading2"/>
        <w:spacing w:after="160" w:before="360"/>
      </w:pPr>
      <w:r>
        <w:rPr>
          <w:b/>
          <w:bCs/>
          <w:color w:val="0E7C7B"/>
          <w:sz w:val="26"/>
          <w:szCs w:val="26"/>
        </w:rPr>
        <w:t xml:space="preserve">6.2 Suggested hardware (indicative bill of materials)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50"/>
      </w:tblGrid>
      <w:tr>
        <w:trPr>
          <w:tblHeader/>
        </w:trPr>
        <w:tc>
          <w:tcPr>
            <w:tcW w:type="dxa" w:w="3200"/>
            <w:shd w:fill="0B2545" w:val="clear"/>
            <w:tcMar>
              <w:top w:type="dxa" w:w="100"/>
              <w:left w:type="dxa" w:w="120"/>
              <w:bottom w:type="dxa" w:w="100"/>
              <w:right w:type="dxa" w:w="120"/>
            </w:tcMar>
          </w:tcPr>
          <w:p>
            <w:r>
              <w:rPr>
                <w:b/>
                <w:bCs/>
                <w:color w:val="FFFFFF"/>
                <w:sz w:val="20"/>
                <w:szCs w:val="20"/>
              </w:rPr>
              <w:t xml:space="preserve">Component</w:t>
            </w:r>
          </w:p>
        </w:tc>
        <w:tc>
          <w:tcPr>
            <w:tcW w:type="dxa" w:w="3400"/>
            <w:shd w:fill="0B2545" w:val="clear"/>
            <w:tcMar>
              <w:top w:type="dxa" w:w="100"/>
              <w:left w:type="dxa" w:w="120"/>
              <w:bottom w:type="dxa" w:w="100"/>
              <w:right w:type="dxa" w:w="120"/>
            </w:tcMar>
          </w:tcPr>
          <w:p>
            <w:r>
              <w:rPr>
                <w:b/>
                <w:bCs/>
                <w:color w:val="FFFFFF"/>
                <w:sz w:val="20"/>
                <w:szCs w:val="20"/>
              </w:rPr>
              <w:t xml:space="preserve">Approx. role</w:t>
            </w:r>
          </w:p>
        </w:tc>
        <w:tc>
          <w:tcPr>
            <w:tcW w:type="dxa" w:w="2750"/>
            <w:shd w:fill="0B2545" w:val="clear"/>
            <w:tcMar>
              <w:top w:type="dxa" w:w="100"/>
              <w:left w:type="dxa" w:w="120"/>
              <w:bottom w:type="dxa" w:w="100"/>
              <w:right w:type="dxa" w:w="120"/>
            </w:tcMar>
          </w:tcPr>
          <w:p>
            <w:r>
              <w:rPr>
                <w:b/>
                <w:bCs/>
                <w:color w:val="FFFFFF"/>
                <w:sz w:val="20"/>
                <w:szCs w:val="20"/>
              </w:rPr>
              <w:t xml:space="preserve">Notes</w:t>
            </w:r>
          </w:p>
        </w:tc>
      </w:tr>
      <w:tr>
        <w:tc>
          <w:tcPr>
            <w:tcW w:type="dxa" w:w="3200"/>
            <w:tcMar>
              <w:top w:type="dxa" w:w="100"/>
              <w:left w:type="dxa" w:w="120"/>
              <w:bottom w:type="dxa" w:w="100"/>
              <w:right w:type="dxa" w:w="120"/>
            </w:tcMar>
          </w:tcPr>
          <w:p>
            <w:r>
              <w:rPr>
                <w:color w:val="000000"/>
                <w:sz w:val="20"/>
                <w:szCs w:val="20"/>
              </w:rPr>
              <w:t xml:space="preserve">ESP32 or Arduino microcontroller</w:t>
            </w:r>
          </w:p>
        </w:tc>
        <w:tc>
          <w:tcPr>
            <w:tcW w:type="dxa" w:w="3400"/>
            <w:tcMar>
              <w:top w:type="dxa" w:w="100"/>
              <w:left w:type="dxa" w:w="120"/>
              <w:bottom w:type="dxa" w:w="100"/>
              <w:right w:type="dxa" w:w="120"/>
            </w:tcMar>
          </w:tcPr>
          <w:p>
            <w:r>
              <w:rPr>
                <w:color w:val="000000"/>
                <w:sz w:val="20"/>
                <w:szCs w:val="20"/>
              </w:rPr>
              <w:t xml:space="preserve">Reads sensors, sends data over WiFi</w:t>
            </w:r>
          </w:p>
        </w:tc>
        <w:tc>
          <w:tcPr>
            <w:tcW w:type="dxa" w:w="2750"/>
            <w:tcMar>
              <w:top w:type="dxa" w:w="100"/>
              <w:left w:type="dxa" w:w="120"/>
              <w:bottom w:type="dxa" w:w="100"/>
              <w:right w:type="dxa" w:w="120"/>
            </w:tcMar>
          </w:tcPr>
          <w:p>
            <w:r>
              <w:rPr>
                <w:color w:val="000000"/>
                <w:sz w:val="20"/>
                <w:szCs w:val="20"/>
              </w:rPr>
              <w:t xml:space="preserve">Inexpensive, widely available, large hobbyist support base</w:t>
            </w:r>
          </w:p>
        </w:tc>
      </w:tr>
      <w:tr>
        <w:tc>
          <w:tcPr>
            <w:tcW w:type="dxa" w:w="3200"/>
            <w:shd w:fill="EAF2F1" w:val="clear"/>
            <w:tcMar>
              <w:top w:type="dxa" w:w="100"/>
              <w:left w:type="dxa" w:w="120"/>
              <w:bottom w:type="dxa" w:w="100"/>
              <w:right w:type="dxa" w:w="120"/>
            </w:tcMar>
          </w:tcPr>
          <w:p>
            <w:r>
              <w:rPr>
                <w:color w:val="000000"/>
                <w:sz w:val="20"/>
                <w:szCs w:val="20"/>
              </w:rPr>
              <w:t xml:space="preserve">Ultrasonic distance sensor (e.g. HC-SR04 or waterproof variant)</w:t>
            </w:r>
          </w:p>
        </w:tc>
        <w:tc>
          <w:tcPr>
            <w:tcW w:type="dxa" w:w="3400"/>
            <w:shd w:fill="EAF2F1" w:val="clear"/>
            <w:tcMar>
              <w:top w:type="dxa" w:w="100"/>
              <w:left w:type="dxa" w:w="120"/>
              <w:bottom w:type="dxa" w:w="100"/>
              <w:right w:type="dxa" w:w="120"/>
            </w:tcMar>
          </w:tcPr>
          <w:p>
            <w:r>
              <w:rPr>
                <w:color w:val="000000"/>
                <w:sz w:val="20"/>
                <w:szCs w:val="20"/>
              </w:rPr>
              <w:t xml:space="preserve">Simulated water level in model drain</w:t>
            </w:r>
          </w:p>
        </w:tc>
        <w:tc>
          <w:tcPr>
            <w:tcW w:type="dxa" w:w="2750"/>
            <w:shd w:fill="EAF2F1" w:val="clear"/>
            <w:tcMar>
              <w:top w:type="dxa" w:w="100"/>
              <w:left w:type="dxa" w:w="120"/>
              <w:bottom w:type="dxa" w:w="100"/>
              <w:right w:type="dxa" w:w="120"/>
            </w:tcMar>
          </w:tcPr>
          <w:p>
            <w:r>
              <w:rPr>
                <w:color w:val="000000"/>
                <w:sz w:val="20"/>
                <w:szCs w:val="20"/>
              </w:rPr>
              <w:t xml:space="preserve">Mount above a small water reservoir under the model street</w:t>
            </w:r>
          </w:p>
        </w:tc>
      </w:tr>
      <w:tr>
        <w:tc>
          <w:tcPr>
            <w:tcW w:type="dxa" w:w="3200"/>
            <w:tcMar>
              <w:top w:type="dxa" w:w="100"/>
              <w:left w:type="dxa" w:w="120"/>
              <w:bottom w:type="dxa" w:w="100"/>
              <w:right w:type="dxa" w:w="120"/>
            </w:tcMar>
          </w:tcPr>
          <w:p>
            <w:r>
              <w:rPr>
                <w:color w:val="000000"/>
                <w:sz w:val="20"/>
                <w:szCs w:val="20"/>
              </w:rPr>
              <w:t xml:space="preserve">Small water pump + reservoir</w:t>
            </w:r>
          </w:p>
        </w:tc>
        <w:tc>
          <w:tcPr>
            <w:tcW w:type="dxa" w:w="3400"/>
            <w:tcMar>
              <w:top w:type="dxa" w:w="100"/>
              <w:left w:type="dxa" w:w="120"/>
              <w:bottom w:type="dxa" w:w="100"/>
              <w:right w:type="dxa" w:w="120"/>
            </w:tcMar>
          </w:tcPr>
          <w:p>
            <w:r>
              <w:rPr>
                <w:color w:val="000000"/>
                <w:sz w:val="20"/>
                <w:szCs w:val="20"/>
              </w:rPr>
              <w:t xml:space="preserve">Simulates rising water for the live demo</w:t>
            </w:r>
          </w:p>
        </w:tc>
        <w:tc>
          <w:tcPr>
            <w:tcW w:type="dxa" w:w="2750"/>
            <w:tcMar>
              <w:top w:type="dxa" w:w="100"/>
              <w:left w:type="dxa" w:w="120"/>
              <w:bottom w:type="dxa" w:w="100"/>
              <w:right w:type="dxa" w:w="120"/>
            </w:tcMar>
          </w:tcPr>
          <w:p>
            <w:r>
              <w:rPr>
                <w:color w:val="000000"/>
                <w:sz w:val="20"/>
                <w:szCs w:val="20"/>
              </w:rPr>
              <w:t xml:space="preserve">Controlled by the microcontroller to “make it rain” on command</w:t>
            </w:r>
          </w:p>
        </w:tc>
      </w:tr>
      <w:tr>
        <w:tc>
          <w:tcPr>
            <w:tcW w:type="dxa" w:w="3200"/>
            <w:shd w:fill="EAF2F1" w:val="clear"/>
            <w:tcMar>
              <w:top w:type="dxa" w:w="100"/>
              <w:left w:type="dxa" w:w="120"/>
              <w:bottom w:type="dxa" w:w="100"/>
              <w:right w:type="dxa" w:w="120"/>
            </w:tcMar>
          </w:tcPr>
          <w:p>
            <w:r>
              <w:rPr>
                <w:color w:val="000000"/>
                <w:sz w:val="20"/>
                <w:szCs w:val="20"/>
              </w:rPr>
              <w:t xml:space="preserve">Raspberry Pi + camera module (or a laptop webcam)</w:t>
            </w:r>
          </w:p>
        </w:tc>
        <w:tc>
          <w:tcPr>
            <w:tcW w:type="dxa" w:w="3400"/>
            <w:shd w:fill="EAF2F1" w:val="clear"/>
            <w:tcMar>
              <w:top w:type="dxa" w:w="100"/>
              <w:left w:type="dxa" w:w="120"/>
              <w:bottom w:type="dxa" w:w="100"/>
              <w:right w:type="dxa" w:w="120"/>
            </w:tcMar>
          </w:tcPr>
          <w:p>
            <w:r>
              <w:rPr>
                <w:color w:val="000000"/>
                <w:sz w:val="20"/>
                <w:szCs w:val="20"/>
              </w:rPr>
              <w:t xml:space="preserve">Runs the leaf/litter blockage detection model</w:t>
            </w:r>
          </w:p>
        </w:tc>
        <w:tc>
          <w:tcPr>
            <w:tcW w:type="dxa" w:w="2750"/>
            <w:shd w:fill="EAF2F1" w:val="clear"/>
            <w:tcMar>
              <w:top w:type="dxa" w:w="100"/>
              <w:left w:type="dxa" w:w="120"/>
              <w:bottom w:type="dxa" w:w="100"/>
              <w:right w:type="dxa" w:w="120"/>
            </w:tcMar>
          </w:tcPr>
          <w:p>
            <w:r>
              <w:rPr>
                <w:color w:val="000000"/>
                <w:sz w:val="20"/>
                <w:szCs w:val="20"/>
              </w:rPr>
              <w:t xml:space="preserve">Use a small pre-trained object-detection model, fine-tuned on a handful of labelled photos of clean vs. blocked grates</w:t>
            </w:r>
          </w:p>
        </w:tc>
      </w:tr>
      <w:tr>
        <w:tc>
          <w:tcPr>
            <w:tcW w:type="dxa" w:w="3200"/>
            <w:tcMar>
              <w:top w:type="dxa" w:w="100"/>
              <w:left w:type="dxa" w:w="120"/>
              <w:bottom w:type="dxa" w:w="100"/>
              <w:right w:type="dxa" w:w="120"/>
            </w:tcMar>
          </w:tcPr>
          <w:p>
            <w:r>
              <w:rPr>
                <w:color w:val="000000"/>
                <w:sz w:val="20"/>
                <w:szCs w:val="20"/>
              </w:rPr>
              <w:t xml:space="preserve">3D-printed or cardboard city-block model</w:t>
            </w:r>
          </w:p>
        </w:tc>
        <w:tc>
          <w:tcPr>
            <w:tcW w:type="dxa" w:w="3400"/>
            <w:tcMar>
              <w:top w:type="dxa" w:w="100"/>
              <w:left w:type="dxa" w:w="120"/>
              <w:bottom w:type="dxa" w:w="100"/>
              <w:right w:type="dxa" w:w="120"/>
            </w:tcMar>
          </w:tcPr>
          <w:p>
            <w:r>
              <w:rPr>
                <w:color w:val="000000"/>
                <w:sz w:val="20"/>
                <w:szCs w:val="20"/>
              </w:rPr>
              <w:t xml:space="preserve">Physical demo surface</w:t>
            </w:r>
          </w:p>
        </w:tc>
        <w:tc>
          <w:tcPr>
            <w:tcW w:type="dxa" w:w="2750"/>
            <w:tcMar>
              <w:top w:type="dxa" w:w="100"/>
              <w:left w:type="dxa" w:w="120"/>
              <w:bottom w:type="dxa" w:w="100"/>
              <w:right w:type="dxa" w:w="120"/>
            </w:tcMar>
          </w:tcPr>
          <w:p>
            <w:r>
              <w:rPr>
                <w:color w:val="000000"/>
                <w:sz w:val="20"/>
                <w:szCs w:val="20"/>
              </w:rPr>
              <w:t xml:space="preserve">Doubles as the visual centrepiece for the judges and the video</w:t>
            </w:r>
          </w:p>
        </w:tc>
      </w:tr>
    </w:tbl>
    <w:p>
      <w:pPr>
        <w:pStyle w:val="Heading2"/>
        <w:spacing w:after="160" w:before="360"/>
      </w:pPr>
      <w:r>
        <w:rPr>
          <w:b/>
          <w:bCs/>
          <w:color w:val="0E7C7B"/>
          <w:sz w:val="26"/>
          <w:szCs w:val="26"/>
        </w:rPr>
        <w:t xml:space="preserve">6.3 Suggested software stack</w:t>
      </w:r>
    </w:p>
    <w:p>
      <w:pPr>
        <w:pStyle w:val="ListParagraph"/>
        <w:numPr>
          <w:ilvl w:val="0"/>
          <w:numId w:val="3"/>
        </w:numPr>
        <w:spacing w:after="100" w:line="276"/>
      </w:pPr>
      <w:r>
        <w:rPr>
          <w:sz w:val="22"/>
          <w:szCs w:val="22"/>
        </w:rPr>
        <w:t xml:space="preserve">Sensor firmware: Arduino/C++ or MicroPython on the microcontroller, publishing readings over MQTT or simple HTTP to a small backend.</w:t>
      </w:r>
    </w:p>
    <w:p>
      <w:pPr>
        <w:pStyle w:val="ListParagraph"/>
        <w:numPr>
          <w:ilvl w:val="0"/>
          <w:numId w:val="3"/>
        </w:numPr>
        <w:spacing w:after="100" w:line="276"/>
      </w:pPr>
      <w:r>
        <w:rPr>
          <w:sz w:val="22"/>
          <w:szCs w:val="22"/>
        </w:rPr>
        <w:t xml:space="preserve">Backend / simulation core: Python (Flask or FastAPI) hosting a simplified hydrology model — even a basic “bucket fills, then overflows onto the lowest-elevation neighbour” cellular model is a legitimate, explainable simplification of real 2D flood-spread modelling for a school-level prototype.</w:t>
      </w:r>
    </w:p>
    <w:p>
      <w:pPr>
        <w:pStyle w:val="ListParagraph"/>
        <w:numPr>
          <w:ilvl w:val="0"/>
          <w:numId w:val="3"/>
        </w:numPr>
        <w:spacing w:after="100" w:line="276"/>
      </w:pPr>
      <w:r>
        <w:rPr>
          <w:sz w:val="22"/>
          <w:szCs w:val="22"/>
        </w:rPr>
        <w:t xml:space="preserve">Computer vision: a small pre-trained image classification/object-detection model (e.g. a lightweight model fine-tuned with a free framework) distinguishing “clear grate” from “blocked grate” from a handful of labelled example photos.</w:t>
      </w:r>
    </w:p>
    <w:p>
      <w:pPr>
        <w:pStyle w:val="ListParagraph"/>
        <w:numPr>
          <w:ilvl w:val="0"/>
          <w:numId w:val="3"/>
        </w:numPr>
        <w:spacing w:after="100" w:line="276"/>
      </w:pPr>
      <w:r>
        <w:rPr>
          <w:sz w:val="22"/>
          <w:szCs w:val="22"/>
        </w:rPr>
        <w:t xml:space="preserve">Dashboard: a simple web front end (even a single well-designed page) showing the live map of the model block, sensor readings, the predicted time-to-failure, and the single top recommended action — exactly mirroring the real system's decision-support layer.</w:t>
      </w:r>
    </w:p>
    <w:p>
      <w:pPr>
        <w:pStyle w:val="Heading2"/>
        <w:spacing w:after="160" w:before="360"/>
      </w:pPr>
      <w:r>
        <w:rPr>
          <w:b/>
          <w:bCs/>
          <w:color w:val="0E7C7B"/>
          <w:sz w:val="26"/>
          <w:szCs w:val="26"/>
        </w:rPr>
        <w:t xml:space="preserve">6.4 Suggested live-demo script for judges</w:t>
      </w:r>
    </w:p>
    <w:p>
      <w:pPr>
        <w:pStyle w:val="ListParagraph"/>
        <w:numPr>
          <w:ilvl w:val="0"/>
          <w:numId w:val="2"/>
        </w:numPr>
        <w:spacing w:after="100" w:line="276"/>
      </w:pPr>
      <w:r>
        <w:rPr>
          <w:sz w:val="22"/>
          <w:szCs w:val="22"/>
        </w:rPr>
        <w:t xml:space="preserve">Show the physical model city block and explain the failure chain (rain → blocked drain → road closure → blocked emergency access).</w:t>
      </w:r>
    </w:p>
    <w:p>
      <w:pPr>
        <w:pStyle w:val="ListParagraph"/>
        <w:numPr>
          <w:ilvl w:val="0"/>
          <w:numId w:val="2"/>
        </w:numPr>
        <w:spacing w:after="100" w:line="276"/>
      </w:pPr>
      <w:r>
        <w:rPr>
          <w:sz w:val="22"/>
          <w:szCs w:val="22"/>
        </w:rPr>
        <w:t xml:space="preserve">Trigger the pump to simulate rising water while the ultrasonic sensor streams live readings to the dashboard.</w:t>
      </w:r>
    </w:p>
    <w:p>
      <w:pPr>
        <w:pStyle w:val="ListParagraph"/>
        <w:numPr>
          <w:ilvl w:val="0"/>
          <w:numId w:val="2"/>
        </w:numPr>
        <w:spacing w:after="100" w:line="276"/>
      </w:pPr>
      <w:r>
        <w:rPr>
          <w:sz w:val="22"/>
          <w:szCs w:val="22"/>
        </w:rPr>
        <w:t xml:space="preserve">Hold a printed photo of a leaf-blocked grate up to the camera; show the vision model classify it as blocked in real time.</w:t>
      </w:r>
    </w:p>
    <w:p>
      <w:pPr>
        <w:pStyle w:val="ListParagraph"/>
        <w:numPr>
          <w:ilvl w:val="0"/>
          <w:numId w:val="2"/>
        </w:numPr>
        <w:spacing w:after="100" w:line="276"/>
      </w:pPr>
      <w:r>
        <w:rPr>
          <w:sz w:val="22"/>
          <w:szCs w:val="22"/>
        </w:rPr>
        <w:t xml:space="preserve">Show the dashboard's prediction update live: “Drain 1 — estimated overflow in X minutes” and the single recommended action appearing automatically.</w:t>
      </w:r>
    </w:p>
    <w:p>
      <w:pPr>
        <w:pStyle w:val="ListParagraph"/>
        <w:numPr>
          <w:ilvl w:val="0"/>
          <w:numId w:val="2"/>
        </w:numPr>
        <w:spacing w:after="100" w:line="276"/>
      </w:pPr>
      <w:r>
        <w:rPr>
          <w:sz w:val="22"/>
          <w:szCs w:val="22"/>
        </w:rPr>
        <w:t xml:space="preserve">Close by showing the same dashboard's “zoomed out” city-scale mockup, explaining how the identical pipeline would run across thousands of real drains using the data sources described in Section 4.</w:t>
      </w:r>
    </w:p>
    <w:p>
      <w:pPr>
        <w:pStyle w:val="Heading1"/>
        <w:pBdr>
          <w:bottom w:val="single" w:color="0E7C7B" w:sz="8" w:space="4"/>
        </w:pBdr>
        <w:spacing w:after="240" w:before="480"/>
      </w:pPr>
      <w:r>
        <w:rPr>
          <w:b/>
          <w:bCs/>
          <w:color w:val="0B2545"/>
          <w:sz w:val="32"/>
          <w:szCs w:val="32"/>
        </w:rPr>
        <w:t xml:space="preserve">7. Feasibility and Practicality</w:t>
      </w:r>
    </w:p>
    <w:p>
      <w:pPr>
        <w:pStyle w:val="Heading2"/>
        <w:spacing w:after="160" w:before="360"/>
      </w:pPr>
      <w:r>
        <w:rPr>
          <w:b/>
          <w:bCs/>
          <w:color w:val="0E7C7B"/>
          <w:sz w:val="26"/>
          <w:szCs w:val="26"/>
        </w:rPr>
        <w:t xml:space="preserve">7.1 Technical feasibility</w:t>
      </w:r>
    </w:p>
    <w:p>
      <w:pPr>
        <w:spacing w:after="160" w:line="288"/>
        <w:jc w:val="both"/>
      </w:pPr>
      <w:r>
        <w:rPr>
          <w:b w:val="false"/>
          <w:bCs w:val="false"/>
          <w:i w:val="false"/>
          <w:iCs w:val="false"/>
          <w:color w:val="000000"/>
          <w:sz w:val="22"/>
          <w:szCs w:val="22"/>
        </w:rPr>
        <w:t xml:space="preserve">Every individual component of FloodSense AI already exists and is proven at scale elsewhere: LoRaWAN sensor networks are widely deployed for agricultural and utility monitoring; computer-vision blockage and pothole detection on municipal CCTV has been piloted by several cities; open weather and satellite data APIs are free and stable; GIS terrain and pipe-network data is held by almost every mid-size or large city's public-works department. The innovation is integration and the decision layer, not invention of new sensing technology — which materially lowers technical risk compared to a project that depends on a novel, unproven sensor or material.</w:t>
      </w:r>
    </w:p>
    <w:p>
      <w:pPr>
        <w:pStyle w:val="Heading2"/>
        <w:spacing w:after="160" w:before="360"/>
      </w:pPr>
      <w:r>
        <w:rPr>
          <w:b/>
          <w:bCs/>
          <w:color w:val="0E7C7B"/>
          <w:sz w:val="26"/>
          <w:szCs w:val="26"/>
        </w:rPr>
        <w:t xml:space="preserve">7.2 Cost feasibility</w:t>
      </w:r>
    </w:p>
    <w:p>
      <w:pPr>
        <w:spacing w:after="160" w:line="288"/>
        <w:jc w:val="both"/>
      </w:pPr>
      <w:r>
        <w:rPr>
          <w:b w:val="false"/>
          <w:bCs w:val="false"/>
          <w:i w:val="false"/>
          <w:iCs w:val="false"/>
          <w:color w:val="000000"/>
          <w:sz w:val="22"/>
          <w:szCs w:val="22"/>
        </w:rPr>
        <w:t xml:space="preserve">Because the system is designed to reuse existing CCTV and existing GIS/weather data, the incremental cost of a pilot is concentrated almost entirely in the in-drain sensor units, which can be built from consumer-grade components for a modest per-unit cost. A realistic pilot would instrument a small number of chronically flood-prone drains first — the ones public-works crews already know about from complaint records — rather than attempting network-wide coverage on day one.</w:t>
      </w:r>
    </w:p>
    <w:p>
      <w:pPr>
        <w:pStyle w:val="Heading2"/>
        <w:spacing w:after="160" w:before="360"/>
      </w:pPr>
      <w:r>
        <w:rPr>
          <w:b/>
          <w:bCs/>
          <w:color w:val="0E7C7B"/>
          <w:sz w:val="26"/>
          <w:szCs w:val="26"/>
        </w:rPr>
        <w:t xml:space="preserve">7.3 Institutional feasibility</w:t>
      </w:r>
    </w:p>
    <w:p>
      <w:pPr>
        <w:spacing w:after="160" w:line="288"/>
        <w:jc w:val="both"/>
      </w:pPr>
      <w:r>
        <w:rPr>
          <w:b w:val="false"/>
          <w:bCs w:val="false"/>
          <w:i w:val="false"/>
          <w:iCs w:val="false"/>
          <w:color w:val="000000"/>
          <w:sz w:val="22"/>
          <w:szCs w:val="22"/>
        </w:rPr>
        <w:t xml:space="preserve">The system is designed to sit inside a city's existing public-works and emergency-management workflow rather than replace it: it produces a ranked work list for crews who already exist, not a new bureaucracy. This is deliberate, because the biggest failure mode for civic-tech projects is not technical but organisational — tools that nobody's job depends on using tend to be abandoned within a season.</w:t>
      </w:r>
    </w:p>
    <w:p>
      <w:pPr>
        <w:pStyle w:val="Heading1"/>
        <w:pBdr>
          <w:bottom w:val="single" w:color="0E7C7B" w:sz="8" w:space="4"/>
        </w:pBdr>
        <w:spacing w:after="240" w:before="480"/>
      </w:pPr>
      <w:r>
        <w:rPr>
          <w:b/>
          <w:bCs/>
          <w:color w:val="0B2545"/>
          <w:sz w:val="32"/>
          <w:szCs w:val="32"/>
        </w:rPr>
        <w:t xml:space="preserve">8. Impact and Scalability</w:t>
      </w:r>
    </w:p>
    <w:p>
      <w:pPr>
        <w:pStyle w:val="Heading2"/>
        <w:spacing w:after="160" w:before="360"/>
      </w:pPr>
      <w:r>
        <w:rPr>
          <w:b/>
          <w:bCs/>
          <w:color w:val="0E7C7B"/>
          <w:sz w:val="26"/>
          <w:szCs w:val="26"/>
        </w:rPr>
        <w:t xml:space="preserve">8.1 Who benefits, and how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0B2545" w:val="clear"/>
            <w:tcMar>
              <w:top w:type="dxa" w:w="100"/>
              <w:left w:type="dxa" w:w="120"/>
              <w:bottom w:type="dxa" w:w="100"/>
              <w:right w:type="dxa" w:w="120"/>
            </w:tcMar>
          </w:tcPr>
          <w:p>
            <w:r>
              <w:rPr>
                <w:b/>
                <w:bCs/>
                <w:color w:val="FFFFFF"/>
                <w:sz w:val="20"/>
                <w:szCs w:val="20"/>
              </w:rPr>
              <w:t xml:space="preserve">Stakeholder</w:t>
            </w:r>
          </w:p>
        </w:tc>
        <w:tc>
          <w:tcPr>
            <w:tcW w:type="dxa" w:w="6250"/>
            <w:shd w:fill="0B2545" w:val="clear"/>
            <w:tcMar>
              <w:top w:type="dxa" w:w="100"/>
              <w:left w:type="dxa" w:w="120"/>
              <w:bottom w:type="dxa" w:w="100"/>
              <w:right w:type="dxa" w:w="120"/>
            </w:tcMar>
          </w:tcPr>
          <w:p>
            <w:r>
              <w:rPr>
                <w:b/>
                <w:bCs/>
                <w:color w:val="FFFFFF"/>
                <w:sz w:val="20"/>
                <w:szCs w:val="20"/>
              </w:rPr>
              <w:t xml:space="preserve">Benefit</w:t>
            </w:r>
          </w:p>
        </w:tc>
      </w:tr>
      <w:tr>
        <w:tc>
          <w:tcPr>
            <w:tcW w:type="dxa" w:w="3100"/>
            <w:tcMar>
              <w:top w:type="dxa" w:w="100"/>
              <w:left w:type="dxa" w:w="120"/>
              <w:bottom w:type="dxa" w:w="100"/>
              <w:right w:type="dxa" w:w="120"/>
            </w:tcMar>
          </w:tcPr>
          <w:p>
            <w:r>
              <w:rPr>
                <w:color w:val="000000"/>
                <w:sz w:val="20"/>
                <w:szCs w:val="20"/>
              </w:rPr>
              <w:t xml:space="preserve">Emergency services</w:t>
            </w:r>
          </w:p>
        </w:tc>
        <w:tc>
          <w:tcPr>
            <w:tcW w:type="dxa" w:w="6250"/>
            <w:tcMar>
              <w:top w:type="dxa" w:w="100"/>
              <w:left w:type="dxa" w:w="120"/>
              <w:bottom w:type="dxa" w:w="100"/>
              <w:right w:type="dxa" w:w="120"/>
            </w:tcMar>
          </w:tcPr>
          <w:p>
            <w:r>
              <w:rPr>
                <w:color w:val="000000"/>
                <w:sz w:val="20"/>
                <w:szCs w:val="20"/>
              </w:rPr>
              <w:t xml:space="preserve">Advance warning of which specific routes will close, protecting response times to hospitals and vulnerable neighbourhoods</w:t>
            </w:r>
          </w:p>
        </w:tc>
      </w:tr>
      <w:tr>
        <w:tc>
          <w:tcPr>
            <w:tcW w:type="dxa" w:w="3100"/>
            <w:shd w:fill="EAF2F1" w:val="clear"/>
            <w:tcMar>
              <w:top w:type="dxa" w:w="100"/>
              <w:left w:type="dxa" w:w="120"/>
              <w:bottom w:type="dxa" w:w="100"/>
              <w:right w:type="dxa" w:w="120"/>
            </w:tcMar>
          </w:tcPr>
          <w:p>
            <w:r>
              <w:rPr>
                <w:color w:val="000000"/>
                <w:sz w:val="20"/>
                <w:szCs w:val="20"/>
              </w:rPr>
              <w:t xml:space="preserve">Public works departments</w:t>
            </w:r>
          </w:p>
        </w:tc>
        <w:tc>
          <w:tcPr>
            <w:tcW w:type="dxa" w:w="6250"/>
            <w:shd w:fill="EAF2F1" w:val="clear"/>
            <w:tcMar>
              <w:top w:type="dxa" w:w="100"/>
              <w:left w:type="dxa" w:w="120"/>
              <w:bottom w:type="dxa" w:w="100"/>
              <w:right w:type="dxa" w:w="120"/>
            </w:tcMar>
          </w:tcPr>
          <w:p>
            <w:r>
              <w:rPr>
                <w:color w:val="000000"/>
                <w:sz w:val="20"/>
                <w:szCs w:val="20"/>
              </w:rPr>
              <w:t xml:space="preserve">A ranked, evidence-based work list instead of reactive complaint-driven dispatch</w:t>
            </w:r>
          </w:p>
        </w:tc>
      </w:tr>
      <w:tr>
        <w:tc>
          <w:tcPr>
            <w:tcW w:type="dxa" w:w="3100"/>
            <w:tcMar>
              <w:top w:type="dxa" w:w="100"/>
              <w:left w:type="dxa" w:w="120"/>
              <w:bottom w:type="dxa" w:w="100"/>
              <w:right w:type="dxa" w:w="120"/>
            </w:tcMar>
          </w:tcPr>
          <w:p>
            <w:r>
              <w:rPr>
                <w:color w:val="000000"/>
                <w:sz w:val="20"/>
                <w:szCs w:val="20"/>
              </w:rPr>
              <w:t xml:space="preserve">Schools</w:t>
            </w:r>
          </w:p>
        </w:tc>
        <w:tc>
          <w:tcPr>
            <w:tcW w:type="dxa" w:w="6250"/>
            <w:tcMar>
              <w:top w:type="dxa" w:w="100"/>
              <w:left w:type="dxa" w:w="120"/>
              <w:bottom w:type="dxa" w:w="100"/>
              <w:right w:type="dxa" w:w="120"/>
            </w:tcMar>
          </w:tcPr>
          <w:p>
            <w:r>
              <w:rPr>
                <w:color w:val="000000"/>
                <w:sz w:val="20"/>
                <w:szCs w:val="20"/>
              </w:rPr>
              <w:t xml:space="preserve">Advance notice in time to adjust pickup/drop-off before, not during, a road closure</w:t>
            </w:r>
          </w:p>
        </w:tc>
      </w:tr>
      <w:tr>
        <w:tc>
          <w:tcPr>
            <w:tcW w:type="dxa" w:w="3100"/>
            <w:shd w:fill="EAF2F1" w:val="clear"/>
            <w:tcMar>
              <w:top w:type="dxa" w:w="100"/>
              <w:left w:type="dxa" w:w="120"/>
              <w:bottom w:type="dxa" w:w="100"/>
              <w:right w:type="dxa" w:w="120"/>
            </w:tcMar>
          </w:tcPr>
          <w:p>
            <w:r>
              <w:rPr>
                <w:color w:val="000000"/>
                <w:sz w:val="20"/>
                <w:szCs w:val="20"/>
              </w:rPr>
              <w:t xml:space="preserve">Small businesses</w:t>
            </w:r>
          </w:p>
        </w:tc>
        <w:tc>
          <w:tcPr>
            <w:tcW w:type="dxa" w:w="6250"/>
            <w:shd w:fill="EAF2F1" w:val="clear"/>
            <w:tcMar>
              <w:top w:type="dxa" w:w="100"/>
              <w:left w:type="dxa" w:w="120"/>
              <w:bottom w:type="dxa" w:w="100"/>
              <w:right w:type="dxa" w:w="120"/>
            </w:tcMar>
          </w:tcPr>
          <w:p>
            <w:r>
              <w:rPr>
                <w:color w:val="000000"/>
                <w:sz w:val="20"/>
                <w:szCs w:val="20"/>
              </w:rPr>
              <w:t xml:space="preserve">Earlier warning reduces stock loss and allows pre-emptive flood barriers to be deployed</w:t>
            </w:r>
          </w:p>
        </w:tc>
      </w:tr>
      <w:tr>
        <w:tc>
          <w:tcPr>
            <w:tcW w:type="dxa" w:w="3100"/>
            <w:tcMar>
              <w:top w:type="dxa" w:w="100"/>
              <w:left w:type="dxa" w:w="120"/>
              <w:bottom w:type="dxa" w:w="100"/>
              <w:right w:type="dxa" w:w="120"/>
            </w:tcMar>
          </w:tcPr>
          <w:p>
            <w:r>
              <w:rPr>
                <w:color w:val="000000"/>
                <w:sz w:val="20"/>
                <w:szCs w:val="20"/>
              </w:rPr>
              <w:t xml:space="preserve">Low-income and informal-transport residents</w:t>
            </w:r>
          </w:p>
        </w:tc>
        <w:tc>
          <w:tcPr>
            <w:tcW w:type="dxa" w:w="6250"/>
            <w:tcMar>
              <w:top w:type="dxa" w:w="100"/>
              <w:left w:type="dxa" w:w="120"/>
              <w:bottom w:type="dxa" w:w="100"/>
              <w:right w:type="dxa" w:w="120"/>
            </w:tcMar>
          </w:tcPr>
          <w:p>
            <w:r>
              <w:rPr>
                <w:color w:val="000000"/>
                <w:sz w:val="20"/>
                <w:szCs w:val="20"/>
              </w:rPr>
              <w:t xml:space="preserve">Explicit equity weighting in the prioritisation engine ensures these communities are not systematically ranked last simply because they generate less economic-loss data</w:t>
            </w:r>
          </w:p>
        </w:tc>
      </w:tr>
    </w:tbl>
    <w:p>
      <w:pPr>
        <w:pStyle w:val="Heading2"/>
        <w:spacing w:after="160" w:before="360"/>
      </w:pPr>
      <w:r>
        <w:rPr>
          <w:b/>
          <w:bCs/>
          <w:color w:val="0E7C7B"/>
          <w:sz w:val="26"/>
          <w:szCs w:val="26"/>
        </w:rPr>
        <w:t xml:space="preserve">8.2 Scaling pathway</w:t>
      </w:r>
    </w:p>
    <w:p>
      <w:pPr>
        <w:pStyle w:val="ListParagraph"/>
        <w:numPr>
          <w:ilvl w:val="0"/>
          <w:numId w:val="2"/>
        </w:numPr>
        <w:spacing w:after="100" w:line="276"/>
      </w:pPr>
      <w:r>
        <w:rPr>
          <w:sz w:val="22"/>
          <w:szCs w:val="22"/>
        </w:rPr>
        <w:t xml:space="preserve">Phase 1 — Single block / single street pilot (the MVP described in Section 6), run with a local public-works partner or school-adjacent street known to flood.</w:t>
      </w:r>
    </w:p>
    <w:p>
      <w:pPr>
        <w:pStyle w:val="ListParagraph"/>
        <w:numPr>
          <w:ilvl w:val="0"/>
          <w:numId w:val="2"/>
        </w:numPr>
        <w:spacing w:after="100" w:line="276"/>
      </w:pPr>
      <w:r>
        <w:rPr>
          <w:sz w:val="22"/>
          <w:szCs w:val="22"/>
        </w:rPr>
        <w:t xml:space="preserve">Phase 2 — Neighbourhood pilot: instrument the 10–20 highest-complaint drains in one district, integrate with the district's existing CCTV, and run a full wet-season trial against real crew dispatch records.</w:t>
      </w:r>
    </w:p>
    <w:p>
      <w:pPr>
        <w:pStyle w:val="ListParagraph"/>
        <w:numPr>
          <w:ilvl w:val="0"/>
          <w:numId w:val="2"/>
        </w:numPr>
        <w:spacing w:after="100" w:line="276"/>
      </w:pPr>
      <w:r>
        <w:rPr>
          <w:sz w:val="22"/>
          <w:szCs w:val="22"/>
        </w:rPr>
        <w:t xml:space="preserve">Phase 3 — Citywide integration: connect to the municipal GIS and emergency-operations centre, expand sensor coverage guided by the model's own confidence gaps (instrument where the model is least certain first).</w:t>
      </w:r>
    </w:p>
    <w:p>
      <w:pPr>
        <w:pStyle w:val="ListParagraph"/>
        <w:numPr>
          <w:ilvl w:val="0"/>
          <w:numId w:val="2"/>
        </w:numPr>
        <w:spacing w:after="100" w:line="276"/>
      </w:pPr>
      <w:r>
        <w:rPr>
          <w:sz w:val="22"/>
          <w:szCs w:val="22"/>
        </w:rPr>
        <w:t xml:space="preserve">Phase 4 — Regional/climate adaptation: license the platform, adapted to local terrain and drainage standards, to other cities facing the same rain-on-frozen-ground or rain-on-snow compound hazard, turning one city's pilot into a template rather than a one-off.</w:t>
      </w:r>
    </w:p>
    <w:p>
      <w:pPr>
        <w:spacing w:after="160" w:line="288"/>
        <w:jc w:val="both"/>
      </w:pPr>
      <w:r>
        <w:rPr>
          <w:b w:val="false"/>
          <w:bCs w:val="false"/>
          <w:i w:val="false"/>
          <w:iCs w:val="false"/>
          <w:color w:val="000000"/>
          <w:sz w:val="22"/>
          <w:szCs w:val="22"/>
        </w:rPr>
        <w:t xml:space="preserve">Because the core simulation logic is terrain- and network-based rather than tied to one city's specific climate, the same platform architecture transfers to coastal storm-surge cities, monsoon-affected cities, and snowmelt-affected cities alike — only the input weights change.</w:t>
      </w:r>
    </w:p>
    <w:p>
      <w:pPr>
        <w:pStyle w:val="Heading1"/>
        <w:pBdr>
          <w:bottom w:val="single" w:color="0E7C7B" w:sz="8" w:space="4"/>
        </w:pBdr>
        <w:spacing w:after="240" w:before="480"/>
      </w:pPr>
      <w:r>
        <w:rPr>
          <w:b/>
          <w:bCs/>
          <w:color w:val="0B2545"/>
          <w:sz w:val="32"/>
          <w:szCs w:val="32"/>
        </w:rPr>
        <w:t xml:space="preserve">9. Ethical Considerations and Equity</w:t>
      </w:r>
    </w:p>
    <w:p>
      <w:pPr>
        <w:pStyle w:val="ListParagraph"/>
        <w:numPr>
          <w:ilvl w:val="0"/>
          <w:numId w:val="3"/>
        </w:numPr>
        <w:spacing w:after="100" w:line="276"/>
      </w:pPr>
      <w:r>
        <w:rPr>
          <w:sz w:val="22"/>
          <w:szCs w:val="22"/>
        </w:rPr>
        <w:t xml:space="preserve">Equity by design, not as an afterthought: the prioritisation engine explicitly includes socioeconomic and infrastructure-resilience indicators so that wealthier, better-sensored neighbourhoods do not automatically crowd out poorer ones simply because they generate more data.</w:t>
      </w:r>
    </w:p>
    <w:p>
      <w:pPr>
        <w:pStyle w:val="ListParagraph"/>
        <w:numPr>
          <w:ilvl w:val="0"/>
          <w:numId w:val="3"/>
        </w:numPr>
        <w:spacing w:after="100" w:line="276"/>
      </w:pPr>
      <w:r>
        <w:rPr>
          <w:sz w:val="22"/>
          <w:szCs w:val="22"/>
        </w:rPr>
        <w:t xml:space="preserve">Privacy: the computer-vision layer is designed to detect blockages and standing water only — it deliberately does not perform facial recognition, licence-plate reading, or any form of personal identification, and this constraint should be a hard rule in the system design, not a policy promise.</w:t>
      </w:r>
    </w:p>
    <w:p>
      <w:pPr>
        <w:pStyle w:val="ListParagraph"/>
        <w:numPr>
          <w:ilvl w:val="0"/>
          <w:numId w:val="3"/>
        </w:numPr>
        <w:spacing w:after="100" w:line="276"/>
      </w:pPr>
      <w:r>
        <w:rPr>
          <w:sz w:val="22"/>
          <w:szCs w:val="22"/>
        </w:rPr>
        <w:t xml:space="preserve">Avoiding alert fatigue and false authority: public alerts are geographically narrow and only sent for high-confidence predictions, so residents keep trusting the system rather than tuning it out after repeated false alarms.</w:t>
      </w:r>
    </w:p>
    <w:p>
      <w:pPr>
        <w:pStyle w:val="ListParagraph"/>
        <w:numPr>
          <w:ilvl w:val="0"/>
          <w:numId w:val="3"/>
        </w:numPr>
        <w:spacing w:after="100" w:line="276"/>
      </w:pPr>
      <w:r>
        <w:rPr>
          <w:sz w:val="22"/>
          <w:szCs w:val="22"/>
        </w:rPr>
        <w:t xml:space="preserve">Human-in-the-loop: the system recommends actions; it does not autonomously operate floodgates or road closures. A human operator confirms every dispatch, which keeps accountability with the city, not the algorithm, and provides a safety check against sensor or model error.</w:t>
      </w:r>
    </w:p>
    <w:p>
      <w:pPr>
        <w:pStyle w:val="ListParagraph"/>
        <w:numPr>
          <w:ilvl w:val="0"/>
          <w:numId w:val="3"/>
        </w:numPr>
        <w:spacing w:after="100" w:line="276"/>
      </w:pPr>
      <w:r>
        <w:rPr>
          <w:sz w:val="22"/>
          <w:szCs w:val="22"/>
        </w:rPr>
        <w:t xml:space="preserve">Data governance: sensor and camera data are used only for drainage-safety purposes and retained for the minimum period needed for model improvement, with clear rules for any third party (insurers, logistics firms) accessing the API layer.</w:t>
      </w:r>
    </w:p>
    <w:p>
      <w:pPr>
        <w:pStyle w:val="ListParagraph"/>
        <w:numPr>
          <w:ilvl w:val="0"/>
          <w:numId w:val="3"/>
        </w:numPr>
        <w:spacing w:after="100" w:line="276"/>
      </w:pPr>
      <w:r>
        <w:rPr>
          <w:sz w:val="22"/>
          <w:szCs w:val="22"/>
        </w:rPr>
        <w:t xml:space="preserve">Digital divide: because the public alert layer works over basic SMS or existing municipal channels, not only smartphone apps, residents without smartphones or reliable data plans are not left out of the exact population the system most needs to protect.</w:t>
      </w:r>
    </w:p>
    <w:p>
      <w:pPr>
        <w:pStyle w:val="Heading1"/>
        <w:pBdr>
          <w:bottom w:val="single" w:color="0E7C7B" w:sz="8" w:space="4"/>
        </w:pBdr>
        <w:spacing w:after="240" w:before="480"/>
      </w:pPr>
      <w:r>
        <w:rPr>
          <w:b/>
          <w:bCs/>
          <w:color w:val="0B2545"/>
          <w:sz w:val="32"/>
          <w:szCs w:val="32"/>
        </w:rPr>
        <w:t xml:space="preserve">10. Sustainability and Long-Term Model</w:t>
      </w:r>
    </w:p>
    <w:p>
      <w:pPr>
        <w:pStyle w:val="Heading2"/>
        <w:spacing w:after="160" w:before="360"/>
      </w:pPr>
      <w:r>
        <w:rPr>
          <w:b/>
          <w:bCs/>
          <w:color w:val="0E7C7B"/>
          <w:sz w:val="26"/>
          <w:szCs w:val="26"/>
        </w:rPr>
        <w:t xml:space="preserve">10.1 Environmental sustainability</w:t>
      </w:r>
    </w:p>
    <w:p>
      <w:pPr>
        <w:spacing w:after="160" w:line="288"/>
        <w:jc w:val="both"/>
      </w:pPr>
      <w:r>
        <w:rPr>
          <w:b w:val="false"/>
          <w:bCs w:val="false"/>
          <w:i w:val="false"/>
          <w:iCs w:val="false"/>
          <w:color w:val="000000"/>
          <w:sz w:val="22"/>
          <w:szCs w:val="22"/>
        </w:rPr>
        <w:t xml:space="preserve">Better-targeted drain maintenance reduces the need for reactive, resource-intensive emergency flood response (pumping, road repair from water damage, emergency vehicle mileage) by shifting effort to smaller, cheaper preventive interventions. Reduced flood-water contact with road surfaces and sewage overflow also lowers the risk of contaminated runoff reaching waterways, a secondary environmental benefit beyond the immediate safety case.</w:t>
      </w:r>
    </w:p>
    <w:p>
      <w:pPr>
        <w:pStyle w:val="Heading2"/>
        <w:spacing w:after="160" w:before="360"/>
      </w:pPr>
      <w:r>
        <w:rPr>
          <w:b/>
          <w:bCs/>
          <w:color w:val="0E7C7B"/>
          <w:sz w:val="26"/>
          <w:szCs w:val="26"/>
        </w:rPr>
        <w:t xml:space="preserve">10.2 Financial sustainability</w:t>
      </w:r>
    </w:p>
    <w:p>
      <w:pPr>
        <w:spacing w:after="160" w:line="288"/>
        <w:jc w:val="both"/>
      </w:pPr>
      <w:r>
        <w:rPr>
          <w:b w:val="false"/>
          <w:bCs w:val="false"/>
          <w:i w:val="false"/>
          <w:iCs w:val="false"/>
          <w:color w:val="000000"/>
          <w:sz w:val="22"/>
          <w:szCs w:val="22"/>
        </w:rPr>
        <w:t xml:space="preserve">A realistic long-term model is a municipal SaaS-style licence (an annual subscription per city, scaled to population or number of monitored assets) covering the software platform, with hardware sensor costs a one-time or incrementally expanding capital purchase by the city's public-works budget. Potential secondary revenue includes anonymised, aggregated risk-data feeds licensed to insurers and logistics companies, with clear data-governance limits as described in Section 9.</w:t>
      </w:r>
    </w:p>
    <w:p>
      <w:pPr>
        <w:pStyle w:val="Heading2"/>
        <w:spacing w:after="160" w:before="360"/>
      </w:pPr>
      <w:r>
        <w:rPr>
          <w:b/>
          <w:bCs/>
          <w:color w:val="0E7C7B"/>
          <w:sz w:val="26"/>
          <w:szCs w:val="26"/>
        </w:rPr>
        <w:t xml:space="preserve">10.3 Organisational sustainability</w:t>
      </w:r>
    </w:p>
    <w:p>
      <w:pPr>
        <w:spacing w:after="160" w:line="288"/>
        <w:jc w:val="both"/>
      </w:pPr>
      <w:r>
        <w:rPr>
          <w:b w:val="false"/>
          <w:bCs w:val="false"/>
          <w:i w:val="false"/>
          <w:iCs w:val="false"/>
          <w:color w:val="000000"/>
          <w:sz w:val="22"/>
          <w:szCs w:val="22"/>
        </w:rPr>
        <w:t xml:space="preserve">Because the tool is designed to slot into existing public-works dispatch workflows rather than create a new department, its ongoing operating cost to a city is closer to maintaining an existing software system than to running a new civic programme — improving the odds it survives beyond an initial pilot budget or grant cycle.</w:t>
      </w:r>
    </w:p>
    <w:p>
      <w:pPr>
        <w:pStyle w:val="Heading1"/>
        <w:pBdr>
          <w:bottom w:val="single" w:color="0E7C7B" w:sz="8" w:space="4"/>
        </w:pBdr>
        <w:spacing w:after="240" w:before="480"/>
      </w:pPr>
      <w:r>
        <w:rPr>
          <w:b/>
          <w:bCs/>
          <w:color w:val="0B2545"/>
          <w:sz w:val="32"/>
          <w:szCs w:val="32"/>
        </w:rPr>
        <w:t xml:space="preserve">11. Alignment with the Official Judging Criteria</w:t>
      </w:r>
    </w:p>
    <w:p>
      <w:pPr>
        <w:spacing w:after="160" w:line="288"/>
        <w:jc w:val="both"/>
      </w:pPr>
      <w:r>
        <w:rPr>
          <w:b w:val="false"/>
          <w:bCs w:val="false"/>
          <w:i w:val="false"/>
          <w:iCs w:val="false"/>
          <w:color w:val="000000"/>
          <w:sz w:val="22"/>
          <w:szCs w:val="22"/>
        </w:rPr>
        <w:t xml:space="preserve">The table below maps each published judging criterion for student teams directly to the section of this document (and, by extension, the slide) that answers it — useful both as a self-check and as a structure for the 10-page deck itself.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0B2545" w:val="clear"/>
            <w:tcMar>
              <w:top w:type="dxa" w:w="100"/>
              <w:left w:type="dxa" w:w="120"/>
              <w:bottom w:type="dxa" w:w="100"/>
              <w:right w:type="dxa" w:w="120"/>
            </w:tcMar>
          </w:tcPr>
          <w:p>
            <w:r>
              <w:rPr>
                <w:b/>
                <w:bCs/>
                <w:color w:val="FFFFFF"/>
                <w:sz w:val="20"/>
                <w:szCs w:val="20"/>
              </w:rPr>
              <w:t xml:space="preserve">Judging criterion</w:t>
            </w:r>
          </w:p>
        </w:tc>
        <w:tc>
          <w:tcPr>
            <w:tcW w:type="dxa" w:w="5750"/>
            <w:shd w:fill="0B2545" w:val="clear"/>
            <w:tcMar>
              <w:top w:type="dxa" w:w="100"/>
              <w:left w:type="dxa" w:w="120"/>
              <w:bottom w:type="dxa" w:w="100"/>
              <w:right w:type="dxa" w:w="120"/>
            </w:tcMar>
          </w:tcPr>
          <w:p>
            <w:r>
              <w:rPr>
                <w:b/>
                <w:bCs/>
                <w:color w:val="FFFFFF"/>
                <w:sz w:val="20"/>
                <w:szCs w:val="20"/>
              </w:rPr>
              <w:t xml:space="preserve">Where it is addressed</w:t>
            </w:r>
          </w:p>
        </w:tc>
      </w:tr>
      <w:tr>
        <w:tc>
          <w:tcPr>
            <w:tcW w:type="dxa" w:w="3600"/>
            <w:tcMar>
              <w:top w:type="dxa" w:w="100"/>
              <w:left w:type="dxa" w:w="120"/>
              <w:bottom w:type="dxa" w:w="100"/>
              <w:right w:type="dxa" w:w="120"/>
            </w:tcMar>
          </w:tcPr>
          <w:p>
            <w:r>
              <w:rPr>
                <w:color w:val="000000"/>
                <w:sz w:val="20"/>
                <w:szCs w:val="20"/>
              </w:rPr>
              <w:t xml:space="preserve">Identifying the problem</w:t>
            </w:r>
          </w:p>
        </w:tc>
        <w:tc>
          <w:tcPr>
            <w:tcW w:type="dxa" w:w="5750"/>
            <w:tcMar>
              <w:top w:type="dxa" w:w="100"/>
              <w:left w:type="dxa" w:w="120"/>
              <w:bottom w:type="dxa" w:w="100"/>
              <w:right w:type="dxa" w:w="120"/>
            </w:tcMar>
          </w:tcPr>
          <w:p>
            <w:r>
              <w:rPr>
                <w:color w:val="000000"/>
                <w:sz w:val="20"/>
                <w:szCs w:val="20"/>
              </w:rPr>
              <w:t xml:space="preserve">Section 2 — the drainage-failure chain and the spring compound-hazard case</w:t>
            </w:r>
          </w:p>
        </w:tc>
      </w:tr>
      <w:tr>
        <w:tc>
          <w:tcPr>
            <w:tcW w:type="dxa" w:w="3600"/>
            <w:shd w:fill="EAF2F1" w:val="clear"/>
            <w:tcMar>
              <w:top w:type="dxa" w:w="100"/>
              <w:left w:type="dxa" w:w="120"/>
              <w:bottom w:type="dxa" w:w="100"/>
              <w:right w:type="dxa" w:w="120"/>
            </w:tcMar>
          </w:tcPr>
          <w:p>
            <w:r>
              <w:rPr>
                <w:color w:val="000000"/>
                <w:sz w:val="20"/>
                <w:szCs w:val="20"/>
              </w:rPr>
              <w:t xml:space="preserve">Research and analysis</w:t>
            </w:r>
          </w:p>
        </w:tc>
        <w:tc>
          <w:tcPr>
            <w:tcW w:type="dxa" w:w="5750"/>
            <w:shd w:fill="EAF2F1" w:val="clear"/>
            <w:tcMar>
              <w:top w:type="dxa" w:w="100"/>
              <w:left w:type="dxa" w:w="120"/>
              <w:bottom w:type="dxa" w:w="100"/>
              <w:right w:type="dxa" w:w="120"/>
            </w:tcMar>
          </w:tcPr>
          <w:p>
            <w:r>
              <w:rPr>
                <w:color w:val="000000"/>
                <w:sz w:val="20"/>
                <w:szCs w:val="20"/>
              </w:rPr>
              <w:t xml:space="preserve">Sections 2–3 — gap analysis against existing weather apps, flood maps, and smart-drain pilots</w:t>
            </w:r>
          </w:p>
        </w:tc>
      </w:tr>
      <w:tr>
        <w:tc>
          <w:tcPr>
            <w:tcW w:type="dxa" w:w="3600"/>
            <w:tcMar>
              <w:top w:type="dxa" w:w="100"/>
              <w:left w:type="dxa" w:w="120"/>
              <w:bottom w:type="dxa" w:w="100"/>
              <w:right w:type="dxa" w:w="120"/>
            </w:tcMar>
          </w:tcPr>
          <w:p>
            <w:r>
              <w:rPr>
                <w:color w:val="000000"/>
                <w:sz w:val="20"/>
                <w:szCs w:val="20"/>
              </w:rPr>
              <w:t xml:space="preserve">Innovation and creativity</w:t>
            </w:r>
          </w:p>
        </w:tc>
        <w:tc>
          <w:tcPr>
            <w:tcW w:type="dxa" w:w="5750"/>
            <w:tcMar>
              <w:top w:type="dxa" w:w="100"/>
              <w:left w:type="dxa" w:w="120"/>
              <w:bottom w:type="dxa" w:w="100"/>
              <w:right w:type="dxa" w:w="120"/>
            </w:tcMar>
          </w:tcPr>
          <w:p>
            <w:r>
              <w:rPr>
                <w:color w:val="000000"/>
                <w:sz w:val="20"/>
                <w:szCs w:val="20"/>
              </w:rPr>
              <w:t xml:space="preserve">Section 3 — asset-level, cause-aware, closed-loop prediction with equity-weighted prioritisation</w:t>
            </w:r>
          </w:p>
        </w:tc>
      </w:tr>
      <w:tr>
        <w:tc>
          <w:tcPr>
            <w:tcW w:type="dxa" w:w="3600"/>
            <w:shd w:fill="EAF2F1" w:val="clear"/>
            <w:tcMar>
              <w:top w:type="dxa" w:w="100"/>
              <w:left w:type="dxa" w:w="120"/>
              <w:bottom w:type="dxa" w:w="100"/>
              <w:right w:type="dxa" w:w="120"/>
            </w:tcMar>
          </w:tcPr>
          <w:p>
            <w:r>
              <w:rPr>
                <w:color w:val="000000"/>
                <w:sz w:val="20"/>
                <w:szCs w:val="20"/>
              </w:rPr>
              <w:t xml:space="preserve">Feasibility and practicality</w:t>
            </w:r>
          </w:p>
        </w:tc>
        <w:tc>
          <w:tcPr>
            <w:tcW w:type="dxa" w:w="5750"/>
            <w:shd w:fill="EAF2F1" w:val="clear"/>
            <w:tcMar>
              <w:top w:type="dxa" w:w="100"/>
              <w:left w:type="dxa" w:w="120"/>
              <w:bottom w:type="dxa" w:w="100"/>
              <w:right w:type="dxa" w:w="120"/>
            </w:tcMar>
          </w:tcPr>
          <w:p>
            <w:r>
              <w:rPr>
                <w:color w:val="000000"/>
                <w:sz w:val="20"/>
                <w:szCs w:val="20"/>
              </w:rPr>
              <w:t xml:space="preserve">Sections 6–7 — concrete MVP, bill of materials, and reuse of existing city infrastructure</w:t>
            </w:r>
          </w:p>
        </w:tc>
      </w:tr>
      <w:tr>
        <w:tc>
          <w:tcPr>
            <w:tcW w:type="dxa" w:w="3600"/>
            <w:tcMar>
              <w:top w:type="dxa" w:w="100"/>
              <w:left w:type="dxa" w:w="120"/>
              <w:bottom w:type="dxa" w:w="100"/>
              <w:right w:type="dxa" w:w="120"/>
            </w:tcMar>
          </w:tcPr>
          <w:p>
            <w:r>
              <w:rPr>
                <w:color w:val="000000"/>
                <w:sz w:val="20"/>
                <w:szCs w:val="20"/>
              </w:rPr>
              <w:t xml:space="preserve">Impact and scalability</w:t>
            </w:r>
          </w:p>
        </w:tc>
        <w:tc>
          <w:tcPr>
            <w:tcW w:type="dxa" w:w="5750"/>
            <w:tcMar>
              <w:top w:type="dxa" w:w="100"/>
              <w:left w:type="dxa" w:w="120"/>
              <w:bottom w:type="dxa" w:w="100"/>
              <w:right w:type="dxa" w:w="120"/>
            </w:tcMar>
          </w:tcPr>
          <w:p>
            <w:r>
              <w:rPr>
                <w:color w:val="000000"/>
                <w:sz w:val="20"/>
                <w:szCs w:val="20"/>
              </w:rPr>
              <w:t xml:space="preserve">Section 8 — stakeholder benefit table and four-phase scaling pathway</w:t>
            </w:r>
          </w:p>
        </w:tc>
      </w:tr>
      <w:tr>
        <w:tc>
          <w:tcPr>
            <w:tcW w:type="dxa" w:w="3600"/>
            <w:shd w:fill="EAF2F1" w:val="clear"/>
            <w:tcMar>
              <w:top w:type="dxa" w:w="100"/>
              <w:left w:type="dxa" w:w="120"/>
              <w:bottom w:type="dxa" w:w="100"/>
              <w:right w:type="dxa" w:w="120"/>
            </w:tcMar>
          </w:tcPr>
          <w:p>
            <w:r>
              <w:rPr>
                <w:color w:val="000000"/>
                <w:sz w:val="20"/>
                <w:szCs w:val="20"/>
              </w:rPr>
              <w:t xml:space="preserve">Clarity of presentation</w:t>
            </w:r>
          </w:p>
        </w:tc>
        <w:tc>
          <w:tcPr>
            <w:tcW w:type="dxa" w:w="5750"/>
            <w:shd w:fill="EAF2F1" w:val="clear"/>
            <w:tcMar>
              <w:top w:type="dxa" w:w="100"/>
              <w:left w:type="dxa" w:w="120"/>
              <w:bottom w:type="dxa" w:w="100"/>
              <w:right w:type="dxa" w:w="120"/>
            </w:tcMar>
          </w:tcPr>
          <w:p>
            <w:r>
              <w:rPr>
                <w:color w:val="000000"/>
                <w:sz w:val="20"/>
                <w:szCs w:val="20"/>
              </w:rPr>
              <w:t xml:space="preserve">Document structure itself, and the worked example in Section 5</w:t>
            </w:r>
          </w:p>
        </w:tc>
      </w:tr>
      <w:tr>
        <w:tc>
          <w:tcPr>
            <w:tcW w:type="dxa" w:w="3600"/>
            <w:tcMar>
              <w:top w:type="dxa" w:w="100"/>
              <w:left w:type="dxa" w:w="120"/>
              <w:bottom w:type="dxa" w:w="100"/>
              <w:right w:type="dxa" w:w="120"/>
            </w:tcMar>
          </w:tcPr>
          <w:p>
            <w:r>
              <w:rPr>
                <w:color w:val="000000"/>
                <w:sz w:val="20"/>
                <w:szCs w:val="20"/>
              </w:rPr>
              <w:t xml:space="preserve">Collaboration and teamwork</w:t>
            </w:r>
          </w:p>
        </w:tc>
        <w:tc>
          <w:tcPr>
            <w:tcW w:type="dxa" w:w="5750"/>
            <w:tcMar>
              <w:top w:type="dxa" w:w="100"/>
              <w:left w:type="dxa" w:w="120"/>
              <w:bottom w:type="dxa" w:w="100"/>
              <w:right w:type="dxa" w:w="120"/>
            </w:tcMar>
          </w:tcPr>
          <w:p>
            <w:r>
              <w:rPr>
                <w:color w:val="000000"/>
                <w:sz w:val="20"/>
                <w:szCs w:val="20"/>
              </w:rPr>
              <w:t xml:space="preserve">Section 12 — team roles and division of labour</w:t>
            </w:r>
          </w:p>
        </w:tc>
      </w:tr>
      <w:tr>
        <w:tc>
          <w:tcPr>
            <w:tcW w:type="dxa" w:w="3600"/>
            <w:shd w:fill="EAF2F1" w:val="clear"/>
            <w:tcMar>
              <w:top w:type="dxa" w:w="100"/>
              <w:left w:type="dxa" w:w="120"/>
              <w:bottom w:type="dxa" w:w="100"/>
              <w:right w:type="dxa" w:w="120"/>
            </w:tcMar>
          </w:tcPr>
          <w:p>
            <w:r>
              <w:rPr>
                <w:color w:val="000000"/>
                <w:sz w:val="20"/>
                <w:szCs w:val="20"/>
              </w:rPr>
              <w:t xml:space="preserve">Ethical considerations and inclusiveness</w:t>
            </w:r>
          </w:p>
        </w:tc>
        <w:tc>
          <w:tcPr>
            <w:tcW w:type="dxa" w:w="5750"/>
            <w:shd w:fill="EAF2F1" w:val="clear"/>
            <w:tcMar>
              <w:top w:type="dxa" w:w="100"/>
              <w:left w:type="dxa" w:w="120"/>
              <w:bottom w:type="dxa" w:w="100"/>
              <w:right w:type="dxa" w:w="120"/>
            </w:tcMar>
          </w:tcPr>
          <w:p>
            <w:r>
              <w:rPr>
                <w:color w:val="000000"/>
                <w:sz w:val="20"/>
                <w:szCs w:val="20"/>
              </w:rPr>
              <w:t xml:space="preserve">Section 9 — equity weighting, privacy limits, human-in-the-loop, digital divide</w:t>
            </w:r>
          </w:p>
        </w:tc>
      </w:tr>
      <w:tr>
        <w:tc>
          <w:tcPr>
            <w:tcW w:type="dxa" w:w="3600"/>
            <w:tcMar>
              <w:top w:type="dxa" w:w="100"/>
              <w:left w:type="dxa" w:w="120"/>
              <w:bottom w:type="dxa" w:w="100"/>
              <w:right w:type="dxa" w:w="120"/>
            </w:tcMar>
          </w:tcPr>
          <w:p>
            <w:r>
              <w:rPr>
                <w:color w:val="000000"/>
                <w:sz w:val="20"/>
                <w:szCs w:val="20"/>
              </w:rPr>
              <w:t xml:space="preserve">Sustainability and long-term impact</w:t>
            </w:r>
          </w:p>
        </w:tc>
        <w:tc>
          <w:tcPr>
            <w:tcW w:type="dxa" w:w="5750"/>
            <w:tcMar>
              <w:top w:type="dxa" w:w="100"/>
              <w:left w:type="dxa" w:w="120"/>
              <w:bottom w:type="dxa" w:w="100"/>
              <w:right w:type="dxa" w:w="120"/>
            </w:tcMar>
          </w:tcPr>
          <w:p>
            <w:r>
              <w:rPr>
                <w:color w:val="000000"/>
                <w:sz w:val="20"/>
                <w:szCs w:val="20"/>
              </w:rPr>
              <w:t xml:space="preserve">Section 10 — environmental, financial and organisational sustainability</w:t>
            </w:r>
          </w:p>
        </w:tc>
      </w:tr>
      <w:tr>
        <w:tc>
          <w:tcPr>
            <w:tcW w:type="dxa" w:w="3600"/>
            <w:shd w:fill="EAF2F1" w:val="clear"/>
            <w:tcMar>
              <w:top w:type="dxa" w:w="100"/>
              <w:left w:type="dxa" w:w="120"/>
              <w:bottom w:type="dxa" w:w="100"/>
              <w:right w:type="dxa" w:w="120"/>
            </w:tcMar>
          </w:tcPr>
          <w:p>
            <w:r>
              <w:rPr>
                <w:color w:val="000000"/>
                <w:sz w:val="20"/>
                <w:szCs w:val="20"/>
              </w:rPr>
              <w:t xml:space="preserve">Overall impression</w:t>
            </w:r>
          </w:p>
        </w:tc>
        <w:tc>
          <w:tcPr>
            <w:tcW w:type="dxa" w:w="5750"/>
            <w:shd w:fill="EAF2F1" w:val="clear"/>
            <w:tcMar>
              <w:top w:type="dxa" w:w="100"/>
              <w:left w:type="dxa" w:w="120"/>
              <w:bottom w:type="dxa" w:w="100"/>
              <w:right w:type="dxa" w:w="120"/>
            </w:tcMar>
          </w:tcPr>
          <w:p>
            <w:r>
              <w:rPr>
                <w:color w:val="000000"/>
                <w:sz w:val="20"/>
                <w:szCs w:val="20"/>
              </w:rPr>
              <w:t xml:space="preserve">The combination of a working physical/software demo (Section 6.4) with a credible full-scale plan</w:t>
            </w:r>
          </w:p>
        </w:tc>
      </w:tr>
    </w:tbl>
    <w:p>
      <w:pPr>
        <w:pStyle w:val="Heading1"/>
        <w:pBdr>
          <w:bottom w:val="single" w:color="0E7C7B" w:sz="8" w:space="4"/>
        </w:pBdr>
        <w:spacing w:after="240" w:before="480"/>
      </w:pPr>
      <w:r>
        <w:rPr>
          <w:b/>
          <w:bCs/>
          <w:color w:val="0B2545"/>
          <w:sz w:val="32"/>
          <w:szCs w:val="32"/>
        </w:rPr>
        <w:t xml:space="preserve">12. Team and Collaboration Plan</w:t>
      </w:r>
    </w:p>
    <w:p>
      <w:pPr>
        <w:spacing w:after="160" w:line="288"/>
        <w:jc w:val="both"/>
      </w:pPr>
      <w:r>
        <w:rPr>
          <w:b w:val="false"/>
          <w:bCs w:val="false"/>
          <w:i w:val="false"/>
          <w:iCs w:val="false"/>
          <w:color w:val="000000"/>
          <w:sz w:val="22"/>
          <w:szCs w:val="22"/>
        </w:rPr>
        <w:t xml:space="preserve">A 3–5 person team should divide work along the system's natural seams so that each member owns a visible, demoable piece rather than a diffuse responsibility:</w:t>
      </w:r>
    </w:p>
    <w:p>
      <w:pPr>
        <w:pStyle w:val="ListParagraph"/>
        <w:numPr>
          <w:ilvl w:val="0"/>
          <w:numId w:val="3"/>
        </w:numPr>
        <w:spacing w:after="100" w:line="276"/>
      </w:pPr>
      <w:r>
        <w:rPr>
          <w:sz w:val="22"/>
          <w:szCs w:val="22"/>
        </w:rPr>
        <w:t xml:space="preserve">Hardware/IoT lead: builds and wires the sensor unit(s) and the physical model block; owns the live-demo “make it rain” moment.</w:t>
      </w:r>
    </w:p>
    <w:p>
      <w:pPr>
        <w:pStyle w:val="ListParagraph"/>
        <w:numPr>
          <w:ilvl w:val="0"/>
          <w:numId w:val="3"/>
        </w:numPr>
        <w:spacing w:after="100" w:line="276"/>
      </w:pPr>
      <w:r>
        <w:rPr>
          <w:sz w:val="22"/>
          <w:szCs w:val="22"/>
        </w:rPr>
        <w:t xml:space="preserve">Software/AI lead: builds the simplified simulation core and the computer-vision blockage detector.</w:t>
      </w:r>
    </w:p>
    <w:p>
      <w:pPr>
        <w:pStyle w:val="ListParagraph"/>
        <w:numPr>
          <w:ilvl w:val="0"/>
          <w:numId w:val="3"/>
        </w:numPr>
        <w:spacing w:after="100" w:line="276"/>
      </w:pPr>
      <w:r>
        <w:rPr>
          <w:sz w:val="22"/>
          <w:szCs w:val="22"/>
        </w:rPr>
        <w:t xml:space="preserve">Data/GIS lead: sources weather, terrain and sample satellite data; builds the map layer and the prioritisation scoring logic.</w:t>
      </w:r>
    </w:p>
    <w:p>
      <w:pPr>
        <w:pStyle w:val="ListParagraph"/>
        <w:numPr>
          <w:ilvl w:val="0"/>
          <w:numId w:val="3"/>
        </w:numPr>
        <w:spacing w:after="100" w:line="276"/>
      </w:pPr>
      <w:r>
        <w:rPr>
          <w:sz w:val="22"/>
          <w:szCs w:val="22"/>
        </w:rPr>
        <w:t xml:space="preserve">Design/communications lead: builds the dashboard UI, the presentation deck, and the three-minute video.</w:t>
      </w:r>
    </w:p>
    <w:p>
      <w:pPr>
        <w:pStyle w:val="ListParagraph"/>
        <w:numPr>
          <w:ilvl w:val="0"/>
          <w:numId w:val="3"/>
        </w:numPr>
        <w:spacing w:after="100" w:line="276"/>
      </w:pPr>
      <w:r>
        <w:rPr>
          <w:sz w:val="22"/>
          <w:szCs w:val="22"/>
        </w:rPr>
        <w:t xml:space="preserve">Research/ethics lead: owns Sections 2, 9 and 10 — the problem research, ethical framework and sustainability case — and coordinates citations from credible sources such as the Financial Times Schools climate explainers referenced in the competition's own resource pack.</w:t>
      </w:r>
    </w:p>
    <w:p>
      <w:pPr>
        <w:spacing w:after="160" w:line="288"/>
        <w:jc w:val="both"/>
      </w:pPr>
      <w:r>
        <w:rPr>
          <w:b w:val="false"/>
          <w:bCs w:val="false"/>
          <w:i w:val="false"/>
          <w:iCs w:val="false"/>
          <w:color w:val="000000"/>
          <w:sz w:val="22"/>
          <w:szCs w:val="22"/>
        </w:rPr>
        <w:t xml:space="preserve">Weekly checkpoints against the four MVP phases in Section 6 keep the team on schedule against the 17 August 2026 entry deadline, with a hard internal deadline at least two weeks earlier to allow time for rehearsing the live demo and editing the video.</w:t>
      </w:r>
    </w:p>
    <w:p>
      <w:pPr>
        <w:pStyle w:val="Heading1"/>
        <w:pBdr>
          <w:bottom w:val="single" w:color="0E7C7B" w:sz="8" w:space="4"/>
        </w:pBdr>
        <w:spacing w:after="240" w:before="480"/>
      </w:pPr>
      <w:r>
        <w:rPr>
          <w:b/>
          <w:bCs/>
          <w:color w:val="0B2545"/>
          <w:sz w:val="32"/>
          <w:szCs w:val="32"/>
        </w:rPr>
        <w:t xml:space="preserve">13. Roadmap and Next Steps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2545" w:val="clear"/>
            <w:tcMar>
              <w:top w:type="dxa" w:w="100"/>
              <w:left w:type="dxa" w:w="120"/>
              <w:bottom w:type="dxa" w:w="100"/>
              <w:right w:type="dxa" w:w="120"/>
            </w:tcMar>
          </w:tcPr>
          <w:p>
            <w:r>
              <w:rPr>
                <w:b/>
                <w:bCs/>
                <w:color w:val="FFFFFF"/>
                <w:sz w:val="20"/>
                <w:szCs w:val="20"/>
              </w:rPr>
              <w:t xml:space="preserve">Milestone</w:t>
            </w:r>
          </w:p>
        </w:tc>
        <w:tc>
          <w:tcPr>
            <w:tcW w:type="dxa" w:w="6150"/>
            <w:shd w:fill="0B2545" w:val="clear"/>
            <w:tcMar>
              <w:top w:type="dxa" w:w="100"/>
              <w:left w:type="dxa" w:w="120"/>
              <w:bottom w:type="dxa" w:w="100"/>
              <w:right w:type="dxa" w:w="120"/>
            </w:tcMar>
          </w:tcPr>
          <w:p>
            <w:r>
              <w:rPr>
                <w:b/>
                <w:bCs/>
                <w:color w:val="FFFFFF"/>
                <w:sz w:val="20"/>
                <w:szCs w:val="20"/>
              </w:rPr>
              <w:t xml:space="preserve">Target outcome</w:t>
            </w:r>
          </w:p>
        </w:tc>
      </w:tr>
      <w:tr>
        <w:tc>
          <w:tcPr>
            <w:tcW w:type="dxa" w:w="3200"/>
            <w:tcMar>
              <w:top w:type="dxa" w:w="100"/>
              <w:left w:type="dxa" w:w="120"/>
              <w:bottom w:type="dxa" w:w="100"/>
              <w:right w:type="dxa" w:w="120"/>
            </w:tcMar>
          </w:tcPr>
          <w:p>
            <w:r>
              <w:rPr>
                <w:color w:val="000000"/>
                <w:sz w:val="20"/>
                <w:szCs w:val="20"/>
              </w:rPr>
              <w:t xml:space="preserve">Weeks 1–2</w:t>
            </w:r>
          </w:p>
        </w:tc>
        <w:tc>
          <w:tcPr>
            <w:tcW w:type="dxa" w:w="6150"/>
            <w:tcMar>
              <w:top w:type="dxa" w:w="100"/>
              <w:left w:type="dxa" w:w="120"/>
              <w:bottom w:type="dxa" w:w="100"/>
              <w:right w:type="dxa" w:w="120"/>
            </w:tcMar>
          </w:tcPr>
          <w:p>
            <w:r>
              <w:rPr>
                <w:color w:val="000000"/>
                <w:sz w:val="20"/>
                <w:szCs w:val="20"/>
              </w:rPr>
              <w:t xml:space="preserve">Finalise scope, source hardware, label first blockage-detection training photos</w:t>
            </w:r>
          </w:p>
        </w:tc>
      </w:tr>
      <w:tr>
        <w:tc>
          <w:tcPr>
            <w:tcW w:type="dxa" w:w="3200"/>
            <w:shd w:fill="EAF2F1" w:val="clear"/>
            <w:tcMar>
              <w:top w:type="dxa" w:w="100"/>
              <w:left w:type="dxa" w:w="120"/>
              <w:bottom w:type="dxa" w:w="100"/>
              <w:right w:type="dxa" w:w="120"/>
            </w:tcMar>
          </w:tcPr>
          <w:p>
            <w:r>
              <w:rPr>
                <w:color w:val="000000"/>
                <w:sz w:val="20"/>
                <w:szCs w:val="20"/>
              </w:rPr>
              <w:t xml:space="preserve">Weeks 3–4</w:t>
            </w:r>
          </w:p>
        </w:tc>
        <w:tc>
          <w:tcPr>
            <w:tcW w:type="dxa" w:w="6150"/>
            <w:shd w:fill="EAF2F1" w:val="clear"/>
            <w:tcMar>
              <w:top w:type="dxa" w:w="100"/>
              <w:left w:type="dxa" w:w="120"/>
              <w:bottom w:type="dxa" w:w="100"/>
              <w:right w:type="dxa" w:w="120"/>
            </w:tcMar>
          </w:tcPr>
          <w:p>
            <w:r>
              <w:rPr>
                <w:color w:val="000000"/>
                <w:sz w:val="20"/>
                <w:szCs w:val="20"/>
              </w:rPr>
              <w:t xml:space="preserve">Working sensor unit streaming live data; first version of simulation backend</w:t>
            </w:r>
          </w:p>
        </w:tc>
      </w:tr>
      <w:tr>
        <w:tc>
          <w:tcPr>
            <w:tcW w:type="dxa" w:w="3200"/>
            <w:tcMar>
              <w:top w:type="dxa" w:w="100"/>
              <w:left w:type="dxa" w:w="120"/>
              <w:bottom w:type="dxa" w:w="100"/>
              <w:right w:type="dxa" w:w="120"/>
            </w:tcMar>
          </w:tcPr>
          <w:p>
            <w:r>
              <w:rPr>
                <w:color w:val="000000"/>
                <w:sz w:val="20"/>
                <w:szCs w:val="20"/>
              </w:rPr>
              <w:t xml:space="preserve">Weeks 5–6</w:t>
            </w:r>
          </w:p>
        </w:tc>
        <w:tc>
          <w:tcPr>
            <w:tcW w:type="dxa" w:w="6150"/>
            <w:tcMar>
              <w:top w:type="dxa" w:w="100"/>
              <w:left w:type="dxa" w:w="120"/>
              <w:bottom w:type="dxa" w:w="100"/>
              <w:right w:type="dxa" w:w="120"/>
            </w:tcMar>
          </w:tcPr>
          <w:p>
            <w:r>
              <w:rPr>
                <w:color w:val="000000"/>
                <w:sz w:val="20"/>
                <w:szCs w:val="20"/>
              </w:rPr>
              <w:t xml:space="preserve">Computer-vision detector integrated; dashboard shows live prediction + recommendation</w:t>
            </w:r>
          </w:p>
        </w:tc>
      </w:tr>
      <w:tr>
        <w:tc>
          <w:tcPr>
            <w:tcW w:type="dxa" w:w="3200"/>
            <w:shd w:fill="EAF2F1" w:val="clear"/>
            <w:tcMar>
              <w:top w:type="dxa" w:w="100"/>
              <w:left w:type="dxa" w:w="120"/>
              <w:bottom w:type="dxa" w:w="100"/>
              <w:right w:type="dxa" w:w="120"/>
            </w:tcMar>
          </w:tcPr>
          <w:p>
            <w:r>
              <w:rPr>
                <w:color w:val="000000"/>
                <w:sz w:val="20"/>
                <w:szCs w:val="20"/>
              </w:rPr>
              <w:t xml:space="preserve">Weeks 7–8</w:t>
            </w:r>
          </w:p>
        </w:tc>
        <w:tc>
          <w:tcPr>
            <w:tcW w:type="dxa" w:w="6150"/>
            <w:shd w:fill="EAF2F1" w:val="clear"/>
            <w:tcMar>
              <w:top w:type="dxa" w:w="100"/>
              <w:left w:type="dxa" w:w="120"/>
              <w:bottom w:type="dxa" w:w="100"/>
              <w:right w:type="dxa" w:w="120"/>
            </w:tcMar>
          </w:tcPr>
          <w:p>
            <w:r>
              <w:rPr>
                <w:color w:val="000000"/>
                <w:sz w:val="20"/>
                <w:szCs w:val="20"/>
              </w:rPr>
              <w:t xml:space="preserve">Full tabletop demo rehearsed end-to-end; 10-page deck drafted from this document</w:t>
            </w:r>
          </w:p>
        </w:tc>
      </w:tr>
      <w:tr>
        <w:tc>
          <w:tcPr>
            <w:tcW w:type="dxa" w:w="3200"/>
            <w:tcMar>
              <w:top w:type="dxa" w:w="100"/>
              <w:left w:type="dxa" w:w="120"/>
              <w:bottom w:type="dxa" w:w="100"/>
              <w:right w:type="dxa" w:w="120"/>
            </w:tcMar>
          </w:tcPr>
          <w:p>
            <w:r>
              <w:rPr>
                <w:color w:val="000000"/>
                <w:sz w:val="20"/>
                <w:szCs w:val="20"/>
              </w:rPr>
              <w:t xml:space="preserve">Final 2 weeks</w:t>
            </w:r>
          </w:p>
        </w:tc>
        <w:tc>
          <w:tcPr>
            <w:tcW w:type="dxa" w:w="6150"/>
            <w:tcMar>
              <w:top w:type="dxa" w:w="100"/>
              <w:left w:type="dxa" w:w="120"/>
              <w:bottom w:type="dxa" w:w="100"/>
              <w:right w:type="dxa" w:w="120"/>
            </w:tcMar>
          </w:tcPr>
          <w:p>
            <w:r>
              <w:rPr>
                <w:color w:val="000000"/>
                <w:sz w:val="20"/>
                <w:szCs w:val="20"/>
              </w:rPr>
              <w:t xml:space="preserve">Record 3-minute video; finalise consent forms; submit before 17 August 2026, 23:59 GMT</w:t>
            </w:r>
          </w:p>
        </w:tc>
      </w:tr>
    </w:tbl>
    <w:p>
      <w:pPr>
        <w:pStyle w:val="Heading1"/>
        <w:pBdr>
          <w:bottom w:val="single" w:color="0E7C7B" w:sz="8" w:space="4"/>
        </w:pBdr>
        <w:spacing w:after="240" w:before="480"/>
      </w:pPr>
      <w:r>
        <w:rPr>
          <w:b/>
          <w:bCs/>
          <w:color w:val="0B2545"/>
          <w:sz w:val="32"/>
          <w:szCs w:val="32"/>
        </w:rPr>
        <w:t xml:space="preserve">14. Appendix</w:t>
      </w:r>
    </w:p>
    <w:p>
      <w:pPr>
        <w:pStyle w:val="Heading2"/>
        <w:spacing w:after="160" w:before="360"/>
      </w:pPr>
      <w:r>
        <w:rPr>
          <w:b/>
          <w:bCs/>
          <w:color w:val="0E7C7B"/>
          <w:sz w:val="26"/>
          <w:szCs w:val="26"/>
        </w:rPr>
        <w:t xml:space="preserve">A. Glossary</w:t>
      </w:r>
    </w:p>
    <w:p>
      <w:pPr>
        <w:pStyle w:val="ListParagraph"/>
        <w:numPr>
          <w:ilvl w:val="0"/>
          <w:numId w:val="3"/>
        </w:numPr>
        <w:spacing w:after="100" w:line="276"/>
      </w:pPr>
      <w:r>
        <w:rPr>
          <w:sz w:val="22"/>
          <w:szCs w:val="22"/>
        </w:rPr>
        <w:t xml:space="preserve">Digital twin: a continuously updated virtual model of a physical system, kept synchronised with real sensor data so it can simulate near-future states.</w:t>
      </w:r>
    </w:p>
    <w:p>
      <w:pPr>
        <w:pStyle w:val="ListParagraph"/>
        <w:numPr>
          <w:ilvl w:val="0"/>
          <w:numId w:val="3"/>
        </w:numPr>
        <w:spacing w:after="100" w:line="276"/>
      </w:pPr>
      <w:r>
        <w:rPr>
          <w:sz w:val="22"/>
          <w:szCs w:val="22"/>
        </w:rPr>
        <w:t xml:space="preserve">LoRaWAN / NB-IoT: low-power, long-range wireless protocols suited to battery-powered sensors that report small amounts of data infrequently.</w:t>
      </w:r>
    </w:p>
    <w:p>
      <w:pPr>
        <w:pStyle w:val="ListParagraph"/>
        <w:numPr>
          <w:ilvl w:val="0"/>
          <w:numId w:val="3"/>
        </w:numPr>
        <w:spacing w:after="100" w:line="276"/>
      </w:pPr>
      <w:r>
        <w:rPr>
          <w:sz w:val="22"/>
          <w:szCs w:val="22"/>
        </w:rPr>
        <w:t xml:space="preserve">Hydraulic/hydrology model: an engineering model of how water flows through pipes and over terrain, used here in simplified form.</w:t>
      </w:r>
    </w:p>
    <w:p>
      <w:pPr>
        <w:pStyle w:val="ListParagraph"/>
        <w:numPr>
          <w:ilvl w:val="0"/>
          <w:numId w:val="3"/>
        </w:numPr>
        <w:spacing w:after="100" w:line="276"/>
      </w:pPr>
      <w:r>
        <w:rPr>
          <w:sz w:val="22"/>
          <w:szCs w:val="22"/>
        </w:rPr>
        <w:t xml:space="preserve">Prioritisation engine: the layer of the system that ranks multiple simultaneous risks by weighted real-world consequence, not just raw sensor severity.</w:t>
      </w:r>
    </w:p>
    <w:p>
      <w:pPr>
        <w:pStyle w:val="Heading2"/>
        <w:spacing w:after="160" w:before="360"/>
      </w:pPr>
      <w:r>
        <w:rPr>
          <w:b/>
          <w:bCs/>
          <w:color w:val="0E7C7B"/>
          <w:sz w:val="26"/>
          <w:szCs w:val="26"/>
        </w:rPr>
        <w:t xml:space="preserve">B. Sample data schema (per drain reading)</w:t>
      </w:r>
    </w:p>
    <w:p>
      <w:pPr>
        <w:spacing w:after="160" w:line="288"/>
        <w:jc w:val="both"/>
      </w:pPr>
      <w:r>
        <w:rPr>
          <w:b w:val="false"/>
          <w:bCs w:val="false"/>
          <w:i w:val="false"/>
          <w:iCs w:val="false"/>
          <w:color w:val="000000"/>
          <w:sz w:val="22"/>
          <w:szCs w:val="22"/>
        </w:rPr>
        <w:t xml:space="preserve">drain_id, timestamp, water_level_cm, flow_rate, blockage_pct_estimate, temperature_c, source (“sensor” or “vision”), confidence_score.</w:t>
      </w:r>
    </w:p>
    <w:p>
      <w:pPr>
        <w:pStyle w:val="Heading2"/>
        <w:spacing w:after="160" w:before="360"/>
      </w:pPr>
      <w:r>
        <w:rPr>
          <w:b/>
          <w:bCs/>
          <w:color w:val="0E7C7B"/>
          <w:sz w:val="26"/>
          <w:szCs w:val="26"/>
        </w:rPr>
        <w:t xml:space="preserve">C. Suggested sources to cite in the final submission</w:t>
      </w:r>
    </w:p>
    <w:p>
      <w:pPr>
        <w:spacing w:after="160" w:line="288"/>
        <w:jc w:val="both"/>
      </w:pPr>
      <w:r>
        <w:rPr>
          <w:b w:val="false"/>
          <w:bCs w:val="false"/>
          <w:i w:val="false"/>
          <w:iCs w:val="false"/>
          <w:color w:val="000000"/>
          <w:sz w:val="22"/>
          <w:szCs w:val="22"/>
        </w:rPr>
        <w:t xml:space="preserve">Entrants are encouraged to strengthen the research base with citations from the competition's media partner resources (Financial Times Schools climate explainers and Climate Capital coverage), national meteorological and hydrological agency flood-risk publications, and peer-reviewed or engineering-body guidance on stormwater network capacity and urban hydrology, rather than relying solely on this document's general description of the failure chain.</w:t>
      </w:r>
    </w:p>
    <w:p>
      <w:pPr>
        <w:spacing w:before="400"/>
      </w:pPr>
      <w:r>
        <w:rPr>
          <w:sz w:val="2"/>
          <w:szCs w:val="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2026-07-29T07:14:37.550Z</dcterms:created>
  <dcterms:modified xsi:type="dcterms:W3CDTF">2026-07-29T07:14:37.562Z</dcterms:modified>
</cp:coreProperties>
</file>

<file path=docProps/custom.xml><?xml version="1.0" encoding="utf-8"?>
<Properties xmlns="http://schemas.openxmlformats.org/officeDocument/2006/custom-properties" xmlns:vt="http://schemas.openxmlformats.org/officeDocument/2006/docPropsVTypes"/>
</file>