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記者素材包2026-10-19-菸防法記者會菸防法不三讀電子煙回收桶就沒有終點"/>
    <w:p>
      <w:pPr>
        <w:pStyle w:val="Heading1"/>
        <w:spacing w:line="312" w:lineRule="auto" w:after="120"/>
        <w:snapToGrid w:val="0"/>
      </w:pPr>
      <w:r>
        <w:rPr>
          <w:rFonts w:hint="eastAsia"/>
        </w:rPr>
        <w:t xml:space="preserve">記者素材包｜2026-10-19</w:t>
      </w:r>
      <w:r>
        <w:t xml:space="preserve"> </w:t>
      </w:r>
      <w:r>
        <w:rPr>
          <w:rFonts w:hint="eastAsia"/>
        </w:rPr>
        <w:t xml:space="preserve">菸防法記者會「菸防法不三讀，電子煙回收桶就沒有終點」</w:t>
      </w:r>
    </w:p>
    <w:p>
      <w:pPr>
        <w:pStyle w:val="BlockText"/>
        <w:spacing w:line="312" w:lineRule="auto" w:after="120"/>
        <w:snapToGrid w:val="0"/>
      </w:pPr>
      <w:r>
        <w:rPr>
          <w:rFonts w:hint="eastAsia"/>
        </w:rPr>
        <w:t xml:space="preserve">對應新聞稿</w:t>
      </w:r>
      <w:r>
        <w:t xml:space="preserve"> </w:t>
      </w:r>
      <w:r>
        <w:rPr>
          <w:rFonts w:hint="eastAsia"/>
        </w:rPr>
        <w:t xml:space="preserve">v2.7，本包不含稿外主張。</w:t>
      </w:r>
      <w:r>
        <w:br/>
      </w:r>
      <w:r>
        <w:rPr>
          <w:rFonts w:hint="eastAsia"/>
        </w:rPr>
        <w:t xml:space="preserve">主辦：國教行動聯盟（民間團體，Action</w:t>
      </w:r>
      <w:r>
        <w:t xml:space="preserve"> Alliance on Basic Education, </w:t>
      </w:r>
      <w:r>
        <w:rPr>
          <w:rFonts w:hint="eastAsia"/>
        </w:rPr>
        <w:t xml:space="preserve">AABE）。10</w:t>
      </w:r>
      <w:r>
        <w:t xml:space="preserve">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日（一）10:00，台大校友會館</w:t>
      </w:r>
      <w:r>
        <w:t xml:space="preserve"> 3B </w:t>
      </w:r>
      <w:r>
        <w:rPr>
          <w:rFonts w:hint="eastAsia"/>
        </w:rPr>
        <w:t xml:space="preserve">會議室。</w:t>
      </w:r>
      <w:r>
        <w:br/>
      </w:r>
      <w:r>
        <w:rPr>
          <w:rFonts w:hint="eastAsia"/>
        </w:rPr>
        <w:t xml:space="preserve">出席：國教行動聯盟理事長</w:t>
      </w:r>
      <w:r>
        <w:t xml:space="preserve"> </w:t>
      </w:r>
      <w:r>
        <w:rPr>
          <w:rFonts w:hint="eastAsia"/>
        </w:rPr>
        <w:t xml:space="preserve">王瀚陽；台灣共善促進協會秘書長</w:t>
      </w:r>
      <w:r>
        <w:t xml:space="preserve"> </w:t>
      </w:r>
      <w:r>
        <w:rPr>
          <w:rFonts w:hint="eastAsia"/>
        </w:rPr>
        <w:t xml:space="preserve">張文昌；台灣醫界菸害防制聯盟秘書長</w:t>
      </w:r>
      <w:r>
        <w:t xml:space="preserve"> </w:t>
      </w:r>
      <w:r>
        <w:rPr>
          <w:rFonts w:hint="eastAsia"/>
        </w:rPr>
        <w:t xml:space="preserve">郭斐然（臺大醫院家庭醫學部主治醫師）；董氏基金會菸害防制中心主任</w:t>
      </w:r>
      <w:r>
        <w:t xml:space="preserve"> </w:t>
      </w:r>
      <w:r>
        <w:rPr>
          <w:rFonts w:hint="eastAsia"/>
        </w:rPr>
        <w:t xml:space="preserve">林清麗。</w:t>
      </w:r>
      <w:r>
        <w:br/>
      </w:r>
      <w:r>
        <w:rPr>
          <w:rFonts w:hint="eastAsia"/>
        </w:rPr>
        <w:t xml:space="preserve">新聞聯絡人：國教行動聯盟理事長</w:t>
      </w:r>
      <w:r>
        <w:t xml:space="preserve"> </w:t>
      </w:r>
      <w:r>
        <w:rPr>
          <w:rFonts w:hint="eastAsia"/>
        </w:rPr>
        <w:t xml:space="preserve">王瀚陽</w:t>
      </w:r>
      <w:r>
        <w:t xml:space="preserve"> 0983-097-165</w:t>
      </w:r>
    </w:p>
    <w:p>
      <w:pPr>
        <w:spacing w:line="312" w:lineRule="auto" w:after="120"/>
        <w:snapToGrid w:val="0"/>
      </w:pPr>
      <w:r>
        <w:pict>
          <v:rect style="width:0;height:1.5pt" o:hralign="center" o:hrstd="t" o:hr="t"/>
        </w:pict>
      </w:r>
    </w:p>
    <w:bookmarkStart w:id="20" w:name="一頁導讀"/>
    <w:p>
      <w:pPr>
        <w:pStyle w:val="Heading2"/>
        <w:spacing w:line="312" w:lineRule="auto" w:after="120"/>
        <w:snapToGrid w:val="0"/>
      </w:pPr>
      <w:r>
        <w:t xml:space="preserve">§1 </w:t>
      </w:r>
      <w:r>
        <w:rPr>
          <w:rFonts w:hint="eastAsia"/>
        </w:rPr>
        <w:t xml:space="preserve">一頁導讀</w:t>
      </w:r>
    </w:p>
    <w:p>
      <w:pPr>
        <w:pStyle w:val="FirstParagraph"/>
        <w:spacing w:line="312" w:lineRule="auto" w:after="120"/>
        <w:snapToGrid w:val="0"/>
      </w:pPr>
      <w:r>
        <w:rPr>
          <w:rFonts w:hint="eastAsia"/>
          <w:b/>
          <w:bCs/>
        </w:rPr>
        <w:t xml:space="preserve">一段話。</w:t>
      </w:r>
      <w:r>
        <w:t xml:space="preserve"> </w:t>
      </w:r>
      <w:r>
        <w:rPr>
          <w:rFonts w:hint="eastAsia"/>
        </w:rPr>
        <w:t xml:space="preserve">衛福部（國健署）9</w:t>
      </w:r>
      <w:r>
        <w:t xml:space="preserve">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日新聞稿宣布，9</w:t>
      </w:r>
      <w:r>
        <w:t xml:space="preserve">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日起在全台設置電子煙專用回收桶，並載明回收措施「將配合修法進度，預計提供至新法施行後1個月緩衝期屆滿」（T01、T03）。10</w:t>
      </w:r>
      <w:r>
        <w:t xml:space="preserve">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日，國健署副署長林莉茹對媒體說明，滿月累計回收</w:t>
      </w:r>
      <w:r>
        <w:t xml:space="preserve"> 633 </w:t>
      </w:r>
      <w:r>
        <w:rPr>
          <w:rFonts w:hint="eastAsia"/>
        </w:rPr>
        <w:t xml:space="preserve">公斤、回收點</w:t>
      </w:r>
      <w:r>
        <w:t xml:space="preserve"> 432 </w:t>
      </w:r>
      <w:r>
        <w:rPr>
          <w:rFonts w:hint="eastAsia"/>
        </w:rPr>
        <w:t xml:space="preserve">處，以每支</w:t>
      </w:r>
      <w:r>
        <w:t xml:space="preserve"> 50 </w:t>
      </w:r>
      <w:r>
        <w:rPr>
          <w:rFonts w:hint="eastAsia"/>
        </w:rPr>
        <w:t xml:space="preserve">公克換算約</w:t>
      </w:r>
      <w:r>
        <w:t xml:space="preserve"> 1 </w:t>
      </w:r>
      <w:r>
        <w:rPr>
          <w:rFonts w:hint="eastAsia"/>
        </w:rPr>
        <w:t xml:space="preserve">萬</w:t>
      </w:r>
      <w:r>
        <w:t xml:space="preserve"> 2,660 </w:t>
      </w:r>
      <w:r>
        <w:rPr>
          <w:rFonts w:hint="eastAsia"/>
        </w:rPr>
        <w:t xml:space="preserve">支（T02；換算為國健署口徑）。《菸害防制法》修正案</w:t>
      </w:r>
      <w:r>
        <w:t xml:space="preserve"> 7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日由社會福利及衛生環境委員會審查，7</w:t>
      </w:r>
      <w:r>
        <w:t xml:space="preserve">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日朝野黨團協商；協商結論載明「其餘均照審查會審查結果通過」，只有第</w:t>
      </w:r>
      <w:r>
        <w:t xml:space="preserve"> 7 </w:t>
      </w:r>
      <w:r>
        <w:rPr>
          <w:rFonts w:hint="eastAsia"/>
        </w:rPr>
        <w:t xml:space="preserve">條與第</w:t>
      </w:r>
      <w:r>
        <w:t xml:space="preserve"> 10 </w:t>
      </w:r>
      <w:r>
        <w:rPr>
          <w:rFonts w:hint="eastAsia"/>
        </w:rPr>
        <w:t xml:space="preserve">條保留送院會處理（T11、T12）。截至</w:t>
      </w:r>
      <w:r>
        <w:t xml:space="preserve"> 10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日，立法院已公布的院會議事日程未排入本案（T13）。國教行動聯盟的主張是：法律不三讀，回收桶就沒有終點，請立法院本會期儘速完成三讀，讓持有納入處罰、85%</w:t>
      </w:r>
      <w:r>
        <w:t xml:space="preserve"> </w:t>
      </w:r>
      <w:r>
        <w:rPr>
          <w:rFonts w:hint="eastAsia"/>
        </w:rPr>
        <w:t xml:space="preserve">菸盒警示圖文與網路業者管理義務一併落地。</w:t>
      </w:r>
    </w:p>
    <w:p>
      <w:pPr>
        <w:pStyle w:val="BodyText"/>
        <w:spacing w:line="312" w:lineRule="auto" w:after="120"/>
        <w:snapToGrid w:val="0"/>
      </w:pPr>
      <w:r>
        <w:rPr>
          <w:rFonts w:hint="eastAsia"/>
          <w:b/>
          <w:bCs/>
        </w:rPr>
        <w:t xml:space="preserve">時間軸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88"/>
        <w:gridCol w:w="7319"/>
        <w:gridCol w:w="929"/>
      </w:tblGrid>
      <w:tr>
        <w:tc>
          <w:tcPr>
            <w:tcW w:type="dxa" w:w="1388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type="dxa" w:w="7319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事</w:t>
            </w:r>
          </w:p>
        </w:tc>
        <w:tc>
          <w:tcPr>
            <w:tcW w:type="dxa" w:w="929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代號</w:t>
            </w:r>
          </w:p>
        </w:tc>
      </w:tr>
      <w:tr>
        <w:tc>
          <w:tcPr>
            <w:tcW w:type="dxa" w:w="1388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7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15 </w:t>
            </w:r>
            <w:r>
              <w:rPr>
                <w:b w:val="0"/>
                <w:sz w:val="21"/>
              </w:rPr>
              <w:t>日</w:t>
            </w:r>
          </w:p>
        </w:tc>
        <w:tc>
          <w:tcPr>
            <w:tcW w:type="dxa" w:w="73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立法院社會福利及衛生環境委員會審查：菸品容器警示圖文面積由現行</w:t>
            </w:r>
            <w:r>
              <w:rPr>
                <w:b w:val="0"/>
                <w:sz w:val="21"/>
              </w:rPr>
              <w:t xml:space="preserve"> 50% </w:t>
            </w:r>
            <w:r>
              <w:rPr>
                <w:b w:val="0"/>
                <w:sz w:val="21"/>
              </w:rPr>
              <w:t>提高到不得低於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85%（第</w:t>
            </w:r>
            <w:r>
              <w:rPr>
                <w:b w:val="0"/>
                <w:sz w:val="21"/>
              </w:rPr>
              <w:t xml:space="preserve"> 9 </w:t>
            </w:r>
            <w:r>
              <w:rPr>
                <w:b w:val="0"/>
                <w:sz w:val="21"/>
              </w:rPr>
              <w:t>條）；禁止持有電子煙（第</w:t>
            </w:r>
            <w:r>
              <w:rPr>
                <w:b w:val="0"/>
                <w:sz w:val="21"/>
              </w:rPr>
              <w:t xml:space="preserve"> 15 </w:t>
            </w:r>
            <w:r>
              <w:rPr>
                <w:b w:val="0"/>
                <w:sz w:val="21"/>
              </w:rPr>
              <w:t>條）照行政院提案通過</w:t>
            </w:r>
          </w:p>
        </w:tc>
        <w:tc>
          <w:tcPr>
            <w:tcW w:type="dxa" w:w="92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T11</w:t>
            </w:r>
          </w:p>
        </w:tc>
      </w:tr>
      <w:tr>
        <w:tc>
          <w:tcPr>
            <w:tcW w:type="dxa" w:w="1388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7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30 </w:t>
            </w:r>
            <w:r>
              <w:rPr>
                <w:b w:val="0"/>
                <w:sz w:val="21"/>
              </w:rPr>
              <w:t>日</w:t>
            </w:r>
          </w:p>
        </w:tc>
        <w:tc>
          <w:tcPr>
            <w:tcW w:type="dxa" w:w="73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朝野黨團協商：通過非法供應電子煙的刑罰與網路業者管理義務；結論載明「其餘均照審查會審查結果通過」；第</w:t>
            </w:r>
            <w:r>
              <w:rPr>
                <w:b w:val="0"/>
                <w:sz w:val="21"/>
              </w:rPr>
              <w:t xml:space="preserve"> 7 </w:t>
            </w:r>
            <w:r>
              <w:rPr>
                <w:b w:val="0"/>
                <w:sz w:val="21"/>
              </w:rPr>
              <w:t>條、第</w:t>
            </w:r>
            <w:r>
              <w:rPr>
                <w:b w:val="0"/>
                <w:sz w:val="21"/>
              </w:rPr>
              <w:t xml:space="preserve"> 10 </w:t>
            </w:r>
            <w:r>
              <w:rPr>
                <w:b w:val="0"/>
                <w:sz w:val="21"/>
              </w:rPr>
              <w:t>條保留送院會處理</w:t>
            </w:r>
          </w:p>
        </w:tc>
        <w:tc>
          <w:tcPr>
            <w:tcW w:type="dxa" w:w="92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T12</w:t>
            </w:r>
          </w:p>
        </w:tc>
      </w:tr>
      <w:tr>
        <w:tc>
          <w:tcPr>
            <w:tcW w:type="dxa" w:w="1388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9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5 </w:t>
            </w:r>
            <w:r>
              <w:rPr>
                <w:b w:val="0"/>
                <w:sz w:val="21"/>
              </w:rPr>
              <w:t>日</w:t>
            </w:r>
          </w:p>
        </w:tc>
        <w:tc>
          <w:tcPr>
            <w:tcW w:type="dxa" w:w="73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衛福部（國健署）新聞稿：9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8 </w:t>
            </w:r>
            <w:r>
              <w:rPr>
                <w:b w:val="0"/>
                <w:sz w:val="21"/>
              </w:rPr>
              <w:t>日起設置回收點；回收措施「將配合修法進度，預計提供至新法施行後1個月緩衝期屆滿」</w:t>
            </w:r>
          </w:p>
        </w:tc>
        <w:tc>
          <w:tcPr>
            <w:tcW w:type="dxa" w:w="92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T01、T03</w:t>
            </w:r>
          </w:p>
        </w:tc>
      </w:tr>
      <w:tr>
        <w:tc>
          <w:tcPr>
            <w:tcW w:type="dxa" w:w="1388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9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8 </w:t>
            </w:r>
            <w:r>
              <w:rPr>
                <w:b w:val="0"/>
                <w:sz w:val="21"/>
              </w:rPr>
              <w:t>日</w:t>
            </w:r>
          </w:p>
        </w:tc>
        <w:tc>
          <w:tcPr>
            <w:tcW w:type="dxa" w:w="73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電子煙專用回收桶上路</w:t>
            </w:r>
          </w:p>
        </w:tc>
        <w:tc>
          <w:tcPr>
            <w:tcW w:type="dxa" w:w="92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T01</w:t>
            </w:r>
          </w:p>
        </w:tc>
      </w:tr>
      <w:tr>
        <w:tc>
          <w:tcPr>
            <w:tcW w:type="dxa" w:w="1388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10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15 </w:t>
            </w:r>
            <w:r>
              <w:rPr>
                <w:b w:val="0"/>
                <w:sz w:val="21"/>
              </w:rPr>
              <w:t>日</w:t>
            </w:r>
          </w:p>
        </w:tc>
        <w:tc>
          <w:tcPr>
            <w:tcW w:type="dxa" w:w="73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國健署副署長林莉茹對媒體說明：滿月累計回收</w:t>
            </w:r>
            <w:r>
              <w:rPr>
                <w:b w:val="0"/>
                <w:sz w:val="21"/>
              </w:rPr>
              <w:t xml:space="preserve"> 633 </w:t>
            </w:r>
            <w:r>
              <w:rPr>
                <w:b w:val="0"/>
                <w:sz w:val="21"/>
              </w:rPr>
              <w:t>公斤、432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處回收點，約</w:t>
            </w:r>
            <w:r>
              <w:rPr>
                <w:b w:val="0"/>
                <w:sz w:val="21"/>
              </w:rPr>
              <w:t xml:space="preserve"> 1 </w:t>
            </w:r>
            <w:r>
              <w:rPr>
                <w:b w:val="0"/>
                <w:sz w:val="21"/>
              </w:rPr>
              <w:t>萬</w:t>
            </w:r>
            <w:r>
              <w:rPr>
                <w:b w:val="0"/>
                <w:sz w:val="21"/>
              </w:rPr>
              <w:t xml:space="preserve"> 2,660 </w:t>
            </w:r>
            <w:r>
              <w:rPr>
                <w:b w:val="0"/>
                <w:sz w:val="21"/>
              </w:rPr>
              <w:t>支（每支</w:t>
            </w:r>
            <w:r>
              <w:rPr>
                <w:b w:val="0"/>
                <w:sz w:val="21"/>
              </w:rPr>
              <w:t xml:space="preserve"> 50 </w:t>
            </w:r>
            <w:r>
              <w:rPr>
                <w:b w:val="0"/>
                <w:sz w:val="21"/>
              </w:rPr>
              <w:t>公克換算）</w:t>
            </w:r>
          </w:p>
        </w:tc>
        <w:tc>
          <w:tcPr>
            <w:tcW w:type="dxa" w:w="92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T02</w:t>
            </w:r>
          </w:p>
        </w:tc>
      </w:tr>
      <w:tr>
        <w:tc>
          <w:tcPr>
            <w:tcW w:type="dxa" w:w="1388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10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19 </w:t>
            </w:r>
            <w:r>
              <w:rPr>
                <w:b w:val="0"/>
                <w:sz w:val="21"/>
              </w:rPr>
              <w:t>日</w:t>
            </w:r>
          </w:p>
        </w:tc>
        <w:tc>
          <w:tcPr>
            <w:tcW w:type="dxa" w:w="73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立法院已公布的院會議事日程未排入本案（查核時點）</w:t>
            </w:r>
          </w:p>
        </w:tc>
        <w:tc>
          <w:tcPr>
            <w:tcW w:type="dxa" w:w="92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T13</w:t>
            </w:r>
          </w:p>
        </w:tc>
      </w:tr>
      <w:tr>
        <w:tc>
          <w:tcPr>
            <w:tcW w:type="dxa" w:w="1388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10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19 </w:t>
            </w:r>
            <w:r>
              <w:rPr>
                <w:b w:val="0"/>
                <w:sz w:val="21"/>
              </w:rPr>
              <w:t>日</w:t>
            </w:r>
          </w:p>
        </w:tc>
        <w:tc>
          <w:tcPr>
            <w:tcW w:type="dxa" w:w="73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國教行動聯盟記者會</w:t>
            </w:r>
          </w:p>
        </w:tc>
        <w:tc>
          <w:tcPr>
            <w:tcW w:type="dxa" w:w="92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—</w:t>
            </w:r>
          </w:p>
        </w:tc>
      </w:tr>
    </w:tbl>
    <w:p>
      <w:pPr>
        <w:spacing w:line="312" w:lineRule="auto" w:after="120"/>
        <w:snapToGrid w:val="0"/>
      </w:pPr>
      <w:r>
        <w:pict>
          <v:rect style="width:0;height:1.5pt" o:hralign="center" o:hrstd="t" o:hr="t"/>
        </w:pict>
      </w:r>
    </w:p>
    <w:p>
      <w:pPr>
        <w:pStyle w:val="FirstParagraph"/>
        <w:spacing w:line="312" w:lineRule="auto" w:after="120"/>
        <w:snapToGrid w:val="0"/>
      </w:pPr>
      <w:r>
        <w:rPr>
          <w:rFonts w:hint="eastAsia"/>
          <w:b/>
          <w:bCs/>
        </w:rPr>
        <w:t xml:space="preserve">董氏宣導影片：</w:t>
      </w:r>
      <w:r>
        <w:t xml:space="preserve"> </w:t>
      </w:r>
      <w:r>
        <w:rPr>
          <w:rFonts w:hint="eastAsia"/>
        </w:rPr>
        <w:t xml:space="preserve">董氏基金會菸害防制中心《拒絕所有菸品，從看懂菸商伎倆開始》（約4分半，YouTube）https://www.youtube.com/watch?v=726wgP9m2rw</w:t>
      </w:r>
    </w:p>
    <w:p>
      <w:pPr>
        <w:pStyle w:val="BodyText"/>
        <w:spacing w:line="312" w:lineRule="auto" w:after="120"/>
        <w:snapToGrid w:val="0"/>
      </w:pPr>
      <w:r>
        <w:rPr>
          <w:rFonts w:hint="eastAsia"/>
          <w:b/>
          <w:bCs/>
        </w:rPr>
        <w:t xml:space="preserve">董氏宣導製作物（下載）：</w:t>
      </w:r>
      <w:r>
        <w:t xml:space="preserve"> </w:t>
      </w:r>
      <w:r>
        <w:t xml:space="preserve">https://drive.google.com/drive/folders/1_vlyLXfN3c6ePJ_ZBQ8BGiIJnmcj1HW6 </w:t>
      </w:r>
      <w:r>
        <w:rPr>
          <w:rFonts w:hint="eastAsia"/>
        </w:rPr>
        <w:t xml:space="preserve">（董氏基金會提供）</w:t>
      </w:r>
    </w:p>
    <w:p>
      <w:pPr>
        <w:pStyle w:val="BodyText"/>
        <w:spacing w:line="312" w:lineRule="auto" w:after="120"/>
        <w:snapToGrid w:val="0"/>
      </w:pPr>
      <w:r>
        <w:rPr>
          <w:rFonts w:hint="eastAsia"/>
          <w:b/>
          <w:bCs/>
        </w:rPr>
        <w:t xml:space="preserve">記者會現場照片（會後上傳）：</w:t>
      </w:r>
      <w:r>
        <w:t xml:space="preserve"> </w:t>
      </w:r>
      <w:r>
        <w:t xml:space="preserve">https://reurl.cc/RerXgG </w:t>
      </w:r>
      <w:r>
        <w:rPr>
          <w:rFonts w:hint="eastAsia"/>
        </w:rPr>
        <w:t xml:space="preserve">（Google</w:t>
      </w:r>
      <w:r>
        <w:t xml:space="preserve"> </w:t>
      </w:r>
      <w:r>
        <w:rPr>
          <w:rFonts w:hint="eastAsia"/>
        </w:rPr>
        <w:t xml:space="preserve">雲端硬碟資料夾）</w:t>
      </w:r>
    </w:p>
    <w:p>
      <w:pPr>
        <w:pStyle w:val="BodyText"/>
        <w:spacing w:line="312" w:lineRule="auto" w:after="120"/>
        <w:snapToGrid w:val="0"/>
      </w:pPr>
      <w:r>
        <w:drawing>
          <wp:inline>
            <wp:extent cx="1079999" cy="1079999"/>
            <wp:effectExtent b="0" l="0" r="0" t="0"/>
            <wp:docPr descr="會後照片雲端連結 QR code" title="" id="18" name="Picture"/>
            <a:graphic>
              <a:graphicData uri="http://schemas.openxmlformats.org/drawingml/2006/picture">
                <pic:pic>
                  <pic:nvPicPr>
                    <pic:cNvPr descr="../視覺/assets/QR_會後照片_reurl_RerXg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7" w:name="數字表與參考資料"/>
    <w:p>
      <w:pPr>
        <w:pStyle w:val="Heading2"/>
        <w:spacing w:line="312" w:lineRule="auto" w:after="120"/>
        <w:snapToGrid w:val="0"/>
      </w:pPr>
      <w:r>
        <w:t xml:space="preserve">§2 </w:t>
      </w:r>
      <w:r>
        <w:rPr>
          <w:rFonts w:hint="eastAsia"/>
        </w:rPr>
        <w:t xml:space="preserve">數字表與參考資料</w:t>
      </w:r>
    </w:p>
    <w:p>
      <w:pPr>
        <w:pStyle w:val="FirstParagraph"/>
        <w:spacing w:line="312" w:lineRule="auto" w:after="120"/>
        <w:snapToGrid w:val="0"/>
      </w:pPr>
      <w:r>
        <w:rPr>
          <w:rFonts w:hint="eastAsia"/>
        </w:rPr>
        <w:t xml:space="preserve">級別：</w:t>
      </w:r>
      <w:r>
        <w:rPr>
          <w:b/>
          <w:bCs/>
        </w:rPr>
        <w:t xml:space="preserve">A</w:t>
      </w:r>
      <w:r>
        <w:rPr>
          <w:rFonts w:hint="eastAsia"/>
        </w:rPr>
        <w:t xml:space="preserve">＝一手文件與國教行動聯盟意見徵集原始資料；</w:t>
      </w:r>
      <w:r>
        <w:rPr>
          <w:b/>
          <w:bCs/>
        </w:rPr>
        <w:t xml:space="preserve">B</w:t>
      </w:r>
      <w:r>
        <w:rPr>
          <w:rFonts w:hint="eastAsia"/>
        </w:rPr>
        <w:t xml:space="preserve">＝國際報告、世界衛生組織（WHO）文件；</w:t>
      </w:r>
      <w:r>
        <w:rPr>
          <w:b/>
          <w:bCs/>
        </w:rPr>
        <w:t xml:space="preserve">C</w:t>
      </w:r>
      <w:r>
        <w:rPr>
          <w:rFonts w:hint="eastAsia"/>
        </w:rPr>
        <w:t xml:space="preserve">＝二手報導，僅供查證回應，不作主張。</w:t>
      </w:r>
    </w:p>
    <w:bookmarkStart w:id="21" w:name="a-級一手"/>
    <w:p>
      <w:pPr>
        <w:pStyle w:val="Heading3"/>
        <w:spacing w:line="312" w:lineRule="auto" w:after="120"/>
        <w:snapToGrid w:val="0"/>
      </w:pPr>
      <w:r>
        <w:t xml:space="preserve">A </w:t>
      </w:r>
      <w:r>
        <w:rPr>
          <w:rFonts w:hint="eastAsia"/>
        </w:rPr>
        <w:t xml:space="preserve">級：一手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55"/>
        <w:gridCol w:w="6219"/>
        <w:gridCol w:w="1545"/>
        <w:gridCol w:w="916"/>
      </w:tblGrid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項目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內容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出處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代號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回收桶設置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國健署</w:t>
            </w:r>
            <w:r>
              <w:rPr>
                <w:b w:val="0"/>
                <w:sz w:val="21"/>
              </w:rPr>
              <w:t xml:space="preserve"> 9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8 </w:t>
            </w:r>
            <w:r>
              <w:rPr>
                <w:b w:val="0"/>
                <w:sz w:val="21"/>
              </w:rPr>
              <w:t>日起在全台設置電子煙專用回收桶；9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5 </w:t>
            </w:r>
            <w:r>
              <w:rPr>
                <w:b w:val="0"/>
                <w:sz w:val="21"/>
              </w:rPr>
              <w:t>日新聞稿載</w:t>
            </w:r>
            <w:r>
              <w:rPr>
                <w:b w:val="0"/>
                <w:sz w:val="21"/>
              </w:rPr>
              <w:t xml:space="preserve"> 431 </w:t>
            </w:r>
            <w:r>
              <w:rPr>
                <w:b w:val="0"/>
                <w:sz w:val="21"/>
              </w:rPr>
              <w:t>處回收點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MOHW-2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T01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回收期限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「將配合修法進度，預計提供至新法施行後1個月緩衝期屆滿」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MOHW-2（逐字）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T03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滿月回收量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633 </w:t>
            </w:r>
            <w:r>
              <w:rPr>
                <w:b w:val="0"/>
                <w:sz w:val="21"/>
              </w:rPr>
              <w:t>公斤；回收點</w:t>
            </w:r>
            <w:r>
              <w:rPr>
                <w:b w:val="0"/>
                <w:sz w:val="21"/>
              </w:rPr>
              <w:t xml:space="preserve"> 432 </w:t>
            </w:r>
            <w:r>
              <w:rPr>
                <w:b w:val="0"/>
                <w:sz w:val="21"/>
              </w:rPr>
              <w:t>處；以每支</w:t>
            </w:r>
            <w:r>
              <w:rPr>
                <w:b w:val="0"/>
                <w:sz w:val="21"/>
              </w:rPr>
              <w:t xml:space="preserve"> 50 </w:t>
            </w:r>
            <w:r>
              <w:rPr>
                <w:b w:val="0"/>
                <w:sz w:val="21"/>
              </w:rPr>
              <w:t>公克換算約</w:t>
            </w:r>
            <w:r>
              <w:rPr>
                <w:b w:val="0"/>
                <w:sz w:val="21"/>
              </w:rPr>
              <w:t xml:space="preserve"> 1 </w:t>
            </w:r>
            <w:r>
              <w:rPr>
                <w:b w:val="0"/>
                <w:sz w:val="21"/>
              </w:rPr>
              <w:t>萬</w:t>
            </w:r>
            <w:r>
              <w:rPr>
                <w:b w:val="0"/>
                <w:sz w:val="21"/>
              </w:rPr>
              <w:t xml:space="preserve"> 2,660 </w:t>
            </w:r>
            <w:r>
              <w:rPr>
                <w:b w:val="0"/>
                <w:sz w:val="21"/>
              </w:rPr>
              <w:t>支（10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15 </w:t>
            </w:r>
            <w:r>
              <w:rPr>
                <w:b w:val="0"/>
                <w:sz w:val="21"/>
              </w:rPr>
              <w:t>日林莉茹副署長對媒體說明）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CNA-1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T02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現行法與草案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現行菸防法已禁止電子煙的製造、輸入、販賣與使用；「持有」納入處罰要等修法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菸害防制法第</w:t>
            </w:r>
            <w:r>
              <w:rPr>
                <w:b w:val="0"/>
                <w:sz w:val="21"/>
              </w:rPr>
              <w:t xml:space="preserve"> 15 </w:t>
            </w:r>
            <w:r>
              <w:rPr>
                <w:b w:val="0"/>
                <w:sz w:val="21"/>
              </w:rPr>
              <w:t>條（現行）；審查報告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T04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持有罰則（草案，尚未生效）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草案規劃施行後</w:t>
            </w:r>
            <w:r>
              <w:rPr>
                <w:b w:val="0"/>
                <w:sz w:val="21"/>
              </w:rPr>
              <w:t xml:space="preserve"> 1 </w:t>
            </w:r>
            <w:r>
              <w:rPr>
                <w:b w:val="0"/>
                <w:sz w:val="21"/>
              </w:rPr>
              <w:t>個月內查獲持有不處罰鍰、物品仍沒入；期滿後處新臺幣</w:t>
            </w:r>
            <w:r>
              <w:rPr>
                <w:b w:val="0"/>
                <w:sz w:val="21"/>
              </w:rPr>
              <w:t xml:space="preserve"> 3 </w:t>
            </w:r>
            <w:r>
              <w:rPr>
                <w:b w:val="0"/>
                <w:sz w:val="21"/>
              </w:rPr>
              <w:t>萬元以上</w:t>
            </w:r>
            <w:r>
              <w:rPr>
                <w:b w:val="0"/>
                <w:sz w:val="21"/>
              </w:rPr>
              <w:t xml:space="preserve"> 10 </w:t>
            </w:r>
            <w:r>
              <w:rPr>
                <w:b w:val="0"/>
                <w:sz w:val="21"/>
              </w:rPr>
              <w:t>萬元以下罰鍰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MOHW-2；審查報告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T05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85% </w:t>
            </w:r>
            <w:r>
              <w:rPr>
                <w:b w:val="0"/>
                <w:sz w:val="21"/>
              </w:rPr>
              <w:t>施行時點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第</w:t>
            </w:r>
            <w:r>
              <w:rPr>
                <w:b w:val="0"/>
                <w:sz w:val="21"/>
              </w:rPr>
              <w:t xml:space="preserve"> 9 </w:t>
            </w:r>
            <w:r>
              <w:rPr>
                <w:b w:val="0"/>
                <w:sz w:val="21"/>
              </w:rPr>
              <w:t>條第</w:t>
            </w:r>
            <w:r>
              <w:rPr>
                <w:b w:val="0"/>
                <w:sz w:val="21"/>
              </w:rPr>
              <w:t xml:space="preserve"> 2 </w:t>
            </w:r>
            <w:r>
              <w:rPr>
                <w:b w:val="0"/>
                <w:sz w:val="21"/>
              </w:rPr>
              <w:t>項自公布後一年施行（第</w:t>
            </w:r>
            <w:r>
              <w:rPr>
                <w:b w:val="0"/>
                <w:sz w:val="21"/>
              </w:rPr>
              <w:t xml:space="preserve"> 47 </w:t>
            </w:r>
            <w:r>
              <w:rPr>
                <w:b w:val="0"/>
                <w:sz w:val="21"/>
              </w:rPr>
              <w:t>條）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公報，p.349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T06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青少年電子煙使用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國健署</w:t>
            </w:r>
            <w:r>
              <w:rPr>
                <w:b w:val="0"/>
                <w:sz w:val="21"/>
              </w:rPr>
              <w:t xml:space="preserve"> 114 </w:t>
            </w:r>
            <w:r>
              <w:rPr>
                <w:b w:val="0"/>
                <w:sz w:val="21"/>
              </w:rPr>
              <w:t>年青少年吸菸行為調查：國中生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2.1%、高中職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5.1%；推估至少</w:t>
            </w:r>
            <w:r>
              <w:rPr>
                <w:b w:val="0"/>
                <w:sz w:val="21"/>
              </w:rPr>
              <w:t xml:space="preserve"> 4 </w:t>
            </w:r>
            <w:r>
              <w:rPr>
                <w:b w:val="0"/>
                <w:sz w:val="21"/>
              </w:rPr>
              <w:t>萬名以上青少年使用電子煙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MOHW-1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T07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依托咪酯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行政院公告自</w:t>
            </w:r>
            <w:r>
              <w:rPr>
                <w:b w:val="0"/>
                <w:sz w:val="21"/>
              </w:rPr>
              <w:t xml:space="preserve"> 6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27 </w:t>
            </w:r>
            <w:r>
              <w:rPr>
                <w:b w:val="0"/>
                <w:sz w:val="21"/>
              </w:rPr>
              <w:t>日起列為第一級毒品（院臺法字第</w:t>
            </w:r>
            <w:r>
              <w:rPr>
                <w:b w:val="0"/>
                <w:sz w:val="21"/>
              </w:rPr>
              <w:t xml:space="preserve"> 1155013102 </w:t>
            </w:r>
            <w:r>
              <w:rPr>
                <w:b w:val="0"/>
                <w:sz w:val="21"/>
              </w:rPr>
              <w:t>號）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行政院公告（本包書目）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T08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協商中的</w:t>
            </w:r>
            <w:r>
              <w:rPr>
                <w:b w:val="0"/>
                <w:sz w:val="21"/>
              </w:rPr>
              <w:t xml:space="preserve"> 60% </w:t>
            </w:r>
            <w:r>
              <w:rPr>
                <w:b w:val="0"/>
                <w:sz w:val="21"/>
              </w:rPr>
              <w:t>提議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7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30 </w:t>
            </w:r>
            <w:r>
              <w:rPr>
                <w:b w:val="0"/>
                <w:sz w:val="21"/>
              </w:rPr>
              <w:t>日協商曾有人提議把</w:t>
            </w:r>
            <w:r>
              <w:rPr>
                <w:b w:val="0"/>
                <w:sz w:val="21"/>
              </w:rPr>
              <w:t xml:space="preserve"> 85% </w:t>
            </w:r>
            <w:r>
              <w:rPr>
                <w:b w:val="0"/>
                <w:sz w:val="21"/>
              </w:rPr>
              <w:t>降為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60%，主席裁示「這條維持委員會審查結果」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公報，p.346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T09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委員會審查結果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7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15 </w:t>
            </w:r>
            <w:r>
              <w:rPr>
                <w:b w:val="0"/>
                <w:sz w:val="21"/>
              </w:rPr>
              <w:t>日審查：第</w:t>
            </w:r>
            <w:r>
              <w:rPr>
                <w:b w:val="0"/>
                <w:sz w:val="21"/>
              </w:rPr>
              <w:t xml:space="preserve"> 9 </w:t>
            </w:r>
            <w:r>
              <w:rPr>
                <w:b w:val="0"/>
                <w:sz w:val="21"/>
              </w:rPr>
              <w:t>條（85%）、第</w:t>
            </w:r>
            <w:r>
              <w:rPr>
                <w:b w:val="0"/>
                <w:sz w:val="21"/>
              </w:rPr>
              <w:t xml:space="preserve"> 15 </w:t>
            </w:r>
            <w:r>
              <w:rPr>
                <w:b w:val="0"/>
                <w:sz w:val="21"/>
              </w:rPr>
              <w:t>條（禁止持有）照行政院提案及修正動議通過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審查報告，p.13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T11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協商結論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通過非法供應電子煙的刑罰與網路業者管理義務；「其餘均照審查會審查結果通過」；第</w:t>
            </w:r>
            <w:r>
              <w:rPr>
                <w:b w:val="0"/>
                <w:sz w:val="21"/>
              </w:rPr>
              <w:t xml:space="preserve"> 7 </w:t>
            </w:r>
            <w:r>
              <w:rPr>
                <w:b w:val="0"/>
                <w:sz w:val="21"/>
              </w:rPr>
              <w:t>條、第</w:t>
            </w:r>
            <w:r>
              <w:rPr>
                <w:b w:val="0"/>
                <w:sz w:val="21"/>
              </w:rPr>
              <w:t xml:space="preserve"> 10 </w:t>
            </w:r>
            <w:r>
              <w:rPr>
                <w:b w:val="0"/>
                <w:sz w:val="21"/>
              </w:rPr>
              <w:t>條保留送院會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公報，p.348、p.350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T12</w:t>
            </w:r>
          </w:p>
        </w:tc>
      </w:tr>
      <w:tr>
        <w:tc>
          <w:tcPr>
            <w:tcW w:type="dxa" w:w="95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議程查核</w:t>
            </w:r>
          </w:p>
        </w:tc>
        <w:tc>
          <w:tcPr>
            <w:tcW w:type="dxa" w:w="6219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截至</w:t>
            </w:r>
            <w:r>
              <w:rPr>
                <w:b w:val="0"/>
                <w:sz w:val="21"/>
              </w:rPr>
              <w:t xml:space="preserve"> 10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19 </w:t>
            </w:r>
            <w:r>
              <w:rPr>
                <w:b w:val="0"/>
                <w:sz w:val="21"/>
              </w:rPr>
              <w:t>日，已公布的院會議事日程未排入本案</w:t>
            </w:r>
          </w:p>
        </w:tc>
        <w:tc>
          <w:tcPr>
            <w:tcW w:type="dxa" w:w="1545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立法院議事暨公報資訊網議案頁；院會議事日程</w:t>
            </w:r>
          </w:p>
        </w:tc>
        <w:tc>
          <w:tcPr>
            <w:tcW w:type="dxa" w:w="9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T13</w:t>
            </w:r>
          </w:p>
        </w:tc>
      </w:tr>
    </w:tbl>
    <w:bookmarkEnd w:id="21"/>
    <w:bookmarkStart w:id="22" w:name="a-級國教行動聯盟菸盒警示圖文要放大到85意見徵集自願填答非隨機抽樣"/>
    <w:p>
      <w:pPr>
        <w:pStyle w:val="Heading3"/>
        <w:spacing w:line="312" w:lineRule="auto" w:after="120"/>
        <w:snapToGrid w:val="0"/>
      </w:pPr>
      <w:r>
        <w:t xml:space="preserve">A </w:t>
      </w:r>
      <w:r>
        <w:rPr>
          <w:rFonts w:hint="eastAsia"/>
        </w:rPr>
        <w:t xml:space="preserve">級：國教行動聯盟「菸盒警示圖文要放大到85%？」意見徵集（自願填答、非隨機抽樣）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93"/>
        <w:gridCol w:w="7021"/>
        <w:gridCol w:w="923"/>
      </w:tblGrid>
      <w:tr>
        <w:tc>
          <w:tcPr>
            <w:tcW w:type="dxa" w:w="1693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項目</w:t>
            </w:r>
          </w:p>
        </w:tc>
        <w:tc>
          <w:tcPr>
            <w:tcW w:type="dxa" w:w="7021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數字（分母逐題不同）</w:t>
            </w:r>
          </w:p>
        </w:tc>
        <w:tc>
          <w:tcPr>
            <w:tcW w:type="dxa" w:w="923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代號</w:t>
            </w:r>
          </w:p>
        </w:tc>
      </w:tr>
      <w:tr>
        <w:tc>
          <w:tcPr>
            <w:tcW w:type="dxa" w:w="169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填答者與期間</w:t>
            </w:r>
          </w:p>
        </w:tc>
        <w:tc>
          <w:tcPr>
            <w:tcW w:type="dxa" w:w="70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8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21 </w:t>
            </w:r>
            <w:r>
              <w:rPr>
                <w:b w:val="0"/>
                <w:sz w:val="21"/>
              </w:rPr>
              <w:t>日至</w:t>
            </w:r>
            <w:r>
              <w:rPr>
                <w:b w:val="0"/>
                <w:sz w:val="21"/>
              </w:rPr>
              <w:t xml:space="preserve"> 24 </w:t>
            </w:r>
            <w:r>
              <w:rPr>
                <w:b w:val="0"/>
                <w:sz w:val="21"/>
              </w:rPr>
              <w:t>日，共</w:t>
            </w:r>
            <w:r>
              <w:rPr>
                <w:b w:val="0"/>
                <w:sz w:val="21"/>
              </w:rPr>
              <w:t xml:space="preserve"> 1,239 </w:t>
            </w:r>
            <w:r>
              <w:rPr>
                <w:b w:val="0"/>
                <w:sz w:val="21"/>
              </w:rPr>
              <w:t>位填答者</w:t>
            </w:r>
          </w:p>
        </w:tc>
        <w:tc>
          <w:tcPr>
            <w:tcW w:type="dxa" w:w="92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T14</w:t>
            </w:r>
          </w:p>
        </w:tc>
      </w:tr>
      <w:tr>
        <w:tc>
          <w:tcPr>
            <w:tcW w:type="dxa" w:w="169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認為應儘速完成三讀</w:t>
            </w:r>
          </w:p>
        </w:tc>
        <w:tc>
          <w:tcPr>
            <w:tcW w:type="dxa" w:w="70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1,225 </w:t>
            </w:r>
            <w:r>
              <w:rPr>
                <w:b w:val="0"/>
                <w:sz w:val="21"/>
              </w:rPr>
              <w:t>位有效填答者中，1,151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位（94.0%）</w:t>
            </w:r>
          </w:p>
        </w:tc>
        <w:tc>
          <w:tcPr>
            <w:tcW w:type="dxa" w:w="92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T14</w:t>
            </w:r>
          </w:p>
        </w:tc>
      </w:tr>
      <w:tr>
        <w:tc>
          <w:tcPr>
            <w:tcW w:type="dxa" w:w="169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認為不需要通過</w:t>
            </w:r>
          </w:p>
        </w:tc>
        <w:tc>
          <w:tcPr>
            <w:tcW w:type="dxa" w:w="70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1,225 </w:t>
            </w:r>
            <w:r>
              <w:rPr>
                <w:b w:val="0"/>
                <w:sz w:val="21"/>
              </w:rPr>
              <w:t>位有效填答者中，39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位（3.2%）</w:t>
            </w:r>
          </w:p>
        </w:tc>
        <w:tc>
          <w:tcPr>
            <w:tcW w:type="dxa" w:w="92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T14</w:t>
            </w:r>
          </w:p>
        </w:tc>
      </w:tr>
      <w:tr>
        <w:tc>
          <w:tcPr>
            <w:tcW w:type="dxa" w:w="169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閱讀修法資訊前，支持</w:t>
            </w:r>
            <w:r>
              <w:rPr>
                <w:b w:val="0"/>
                <w:sz w:val="21"/>
              </w:rPr>
              <w:t xml:space="preserve"> 85%</w:t>
            </w:r>
          </w:p>
        </w:tc>
        <w:tc>
          <w:tcPr>
            <w:tcW w:type="dxa" w:w="70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1,231 </w:t>
            </w:r>
            <w:r>
              <w:rPr>
                <w:b w:val="0"/>
                <w:sz w:val="21"/>
              </w:rPr>
              <w:t>位填答者中</w:t>
            </w:r>
            <w:r>
              <w:rPr>
                <w:b w:val="0"/>
                <w:sz w:val="21"/>
              </w:rPr>
              <w:t xml:space="preserve"> 1,155 </w:t>
            </w:r>
            <w:r>
              <w:rPr>
                <w:b w:val="0"/>
                <w:sz w:val="21"/>
              </w:rPr>
              <w:t>位（93.8%）</w:t>
            </w:r>
          </w:p>
        </w:tc>
        <w:tc>
          <w:tcPr>
            <w:tcW w:type="dxa" w:w="92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T14</w:t>
            </w:r>
          </w:p>
        </w:tc>
      </w:tr>
      <w:tr>
        <w:tc>
          <w:tcPr>
            <w:tcW w:type="dxa" w:w="169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閱讀修法資訊後，支持</w:t>
            </w:r>
            <w:r>
              <w:rPr>
                <w:b w:val="0"/>
                <w:sz w:val="21"/>
              </w:rPr>
              <w:t xml:space="preserve"> 85%</w:t>
            </w:r>
          </w:p>
        </w:tc>
        <w:tc>
          <w:tcPr>
            <w:tcW w:type="dxa" w:w="70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1,227 </w:t>
            </w:r>
            <w:r>
              <w:rPr>
                <w:b w:val="0"/>
                <w:sz w:val="21"/>
              </w:rPr>
              <w:t>位填答者中</w:t>
            </w:r>
            <w:r>
              <w:rPr>
                <w:b w:val="0"/>
                <w:sz w:val="21"/>
              </w:rPr>
              <w:t xml:space="preserve"> 1,170 </w:t>
            </w:r>
            <w:r>
              <w:rPr>
                <w:b w:val="0"/>
                <w:sz w:val="21"/>
              </w:rPr>
              <w:t>位（95.4%）；兩題分母不同，須與閱讀前並列</w:t>
            </w:r>
          </w:p>
        </w:tc>
        <w:tc>
          <w:tcPr>
            <w:tcW w:type="dxa" w:w="92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T14</w:t>
            </w:r>
          </w:p>
        </w:tc>
      </w:tr>
      <w:tr>
        <w:tc>
          <w:tcPr>
            <w:tcW w:type="dxa" w:w="169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填答者結構（說明為何不外推）</w:t>
            </w:r>
          </w:p>
        </w:tc>
        <w:tc>
          <w:tcPr>
            <w:tcW w:type="dxa" w:w="70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50 </w:t>
            </w:r>
            <w:r>
              <w:rPr>
                <w:b w:val="0"/>
                <w:sz w:val="21"/>
              </w:rPr>
              <w:t>歲以上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67.1%（1,184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位中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795）、北北基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60.9%（1,196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位中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728）、經</w:t>
            </w:r>
            <w:r>
              <w:rPr>
                <w:b w:val="0"/>
                <w:sz w:val="21"/>
              </w:rPr>
              <w:t xml:space="preserve"> LINE </w:t>
            </w:r>
            <w:r>
              <w:rPr>
                <w:b w:val="0"/>
                <w:sz w:val="21"/>
              </w:rPr>
              <w:t>群組取得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67.3%（1,179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位中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794）</w:t>
            </w:r>
          </w:p>
        </w:tc>
        <w:tc>
          <w:tcPr>
            <w:tcW w:type="dxa" w:w="92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N19</w:t>
            </w:r>
          </w:p>
        </w:tc>
      </w:tr>
      <w:tr>
        <w:tc>
          <w:tcPr>
            <w:tcW w:type="dxa" w:w="169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留言（逐字、匿名）</w:t>
            </w:r>
          </w:p>
        </w:tc>
        <w:tc>
          <w:tcPr>
            <w:tcW w:type="dxa" w:w="70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正方：「請朝野為了國人健康盡快完成立法」；「這是立委當然的責任，不是拜託。」；「要保護青少年，不要讓他們受誘惑去吸菸。」反方：「此法案治標不治本」</w:t>
            </w:r>
          </w:p>
        </w:tc>
        <w:tc>
          <w:tcPr>
            <w:tcW w:type="dxa" w:w="92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T15</w:t>
            </w:r>
          </w:p>
        </w:tc>
      </w:tr>
    </w:tbl>
    <w:bookmarkEnd w:id="22"/>
    <w:bookmarkStart w:id="23" w:name="b-級國際報告與-who"/>
    <w:p>
      <w:pPr>
        <w:pStyle w:val="Heading3"/>
        <w:spacing w:line="312" w:lineRule="auto" w:after="120"/>
        <w:snapToGrid w:val="0"/>
      </w:pPr>
      <w:r>
        <w:t xml:space="preserve">B </w:t>
      </w:r>
      <w:r>
        <w:rPr>
          <w:rFonts w:hint="eastAsia"/>
        </w:rPr>
        <w:t xml:space="preserve">級：國際報告與</w:t>
      </w:r>
      <w:r>
        <w:t xml:space="preserve"> WHO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16"/>
        <w:gridCol w:w="6266"/>
        <w:gridCol w:w="1433"/>
        <w:gridCol w:w="921"/>
      </w:tblGrid>
      <w:tr>
        <w:tc>
          <w:tcPr>
            <w:tcW w:type="dxa" w:w="1016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項目</w:t>
            </w:r>
          </w:p>
        </w:tc>
        <w:tc>
          <w:tcPr>
            <w:tcW w:type="dxa" w:w="6266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內容</w:t>
            </w:r>
          </w:p>
        </w:tc>
        <w:tc>
          <w:tcPr>
            <w:tcW w:type="dxa" w:w="1433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出處與頁碼</w:t>
            </w:r>
          </w:p>
        </w:tc>
        <w:tc>
          <w:tcPr>
            <w:tcW w:type="dxa" w:w="921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代號</w:t>
            </w:r>
          </w:p>
        </w:tc>
      </w:tr>
      <w:tr>
        <w:tc>
          <w:tcPr>
            <w:tcW w:type="dxa" w:w="10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圖文警示國家數</w:t>
            </w:r>
          </w:p>
        </w:tc>
        <w:tc>
          <w:tcPr>
            <w:tcW w:type="dxa" w:w="626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140 </w:t>
            </w:r>
            <w:r>
              <w:rPr>
                <w:b w:val="0"/>
                <w:sz w:val="21"/>
              </w:rPr>
              <w:t>個國家和地區要求圖文警示</w:t>
            </w:r>
          </w:p>
        </w:tc>
        <w:tc>
          <w:tcPr>
            <w:tcW w:type="dxa" w:w="143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CCS-1，p.2</w:t>
            </w:r>
          </w:p>
        </w:tc>
        <w:tc>
          <w:tcPr>
            <w:tcW w:type="dxa" w:w="9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N20</w:t>
            </w:r>
          </w:p>
        </w:tc>
      </w:tr>
      <w:tr>
        <w:tc>
          <w:tcPr>
            <w:tcW w:type="dxa" w:w="10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台灣現行</w:t>
            </w:r>
            <w:r>
              <w:rPr>
                <w:b w:val="0"/>
                <w:sz w:val="21"/>
              </w:rPr>
              <w:t xml:space="preserve"> 50% </w:t>
            </w:r>
            <w:r>
              <w:rPr>
                <w:b w:val="0"/>
                <w:sz w:val="21"/>
              </w:rPr>
              <w:t>的位置</w:t>
            </w:r>
          </w:p>
        </w:tc>
        <w:tc>
          <w:tcPr>
            <w:tcW w:type="dxa" w:w="626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與另</w:t>
            </w:r>
            <w:r>
              <w:rPr>
                <w:b w:val="0"/>
                <w:sz w:val="21"/>
              </w:rPr>
              <w:t xml:space="preserve"> 35 </w:t>
            </w:r>
            <w:r>
              <w:rPr>
                <w:b w:val="0"/>
                <w:sz w:val="21"/>
              </w:rPr>
              <w:t>個國家和地區並列第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95（報告名次欄）</w:t>
            </w:r>
          </w:p>
        </w:tc>
        <w:tc>
          <w:tcPr>
            <w:tcW w:type="dxa" w:w="143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CCS-1，p.10</w:t>
            </w:r>
          </w:p>
        </w:tc>
        <w:tc>
          <w:tcPr>
            <w:tcW w:type="dxa" w:w="9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T10</w:t>
            </w:r>
          </w:p>
        </w:tc>
      </w:tr>
      <w:tr>
        <w:tc>
          <w:tcPr>
            <w:tcW w:type="dxa" w:w="10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85% </w:t>
            </w:r>
            <w:r>
              <w:rPr>
                <w:b w:val="0"/>
                <w:sz w:val="21"/>
              </w:rPr>
              <w:t>後落點</w:t>
            </w:r>
          </w:p>
        </w:tc>
        <w:tc>
          <w:tcPr>
            <w:tcW w:type="dxa" w:w="626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提高到</w:t>
            </w:r>
            <w:r>
              <w:rPr>
                <w:b w:val="0"/>
                <w:sz w:val="21"/>
              </w:rPr>
              <w:t xml:space="preserve"> 85% </w:t>
            </w:r>
            <w:r>
              <w:rPr>
                <w:b w:val="0"/>
                <w:sz w:val="21"/>
              </w:rPr>
              <w:t>可與香港、印度、泰國並列第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9（依報告排名方式推算）</w:t>
            </w:r>
          </w:p>
        </w:tc>
        <w:tc>
          <w:tcPr>
            <w:tcW w:type="dxa" w:w="143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CCS-1，p.8</w:t>
            </w:r>
          </w:p>
        </w:tc>
        <w:tc>
          <w:tcPr>
            <w:tcW w:type="dxa" w:w="9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T10、N22</w:t>
            </w:r>
          </w:p>
        </w:tc>
      </w:tr>
      <w:tr>
        <w:tc>
          <w:tcPr>
            <w:tcW w:type="dxa" w:w="10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FCTC </w:t>
            </w:r>
            <w:r>
              <w:rPr>
                <w:b w:val="0"/>
                <w:sz w:val="21"/>
              </w:rPr>
              <w:t>第</w:t>
            </w:r>
            <w:r>
              <w:rPr>
                <w:b w:val="0"/>
                <w:sz w:val="21"/>
              </w:rPr>
              <w:t xml:space="preserve"> 11 </w:t>
            </w:r>
            <w:r>
              <w:rPr>
                <w:b w:val="0"/>
                <w:sz w:val="21"/>
              </w:rPr>
              <w:t>條實施準則</w:t>
            </w:r>
          </w:p>
        </w:tc>
        <w:tc>
          <w:tcPr>
            <w:tcW w:type="dxa" w:w="626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較大的警示圖文更容易被注意、更能傳達健康風險、提高吸菸者的戒菸動機；警示效果隨面積增加而提高；準則建議各國考慮採用超過</w:t>
            </w:r>
            <w:r>
              <w:rPr>
                <w:b w:val="0"/>
                <w:sz w:val="21"/>
              </w:rPr>
              <w:t xml:space="preserve"> 50% </w:t>
            </w:r>
            <w:r>
              <w:rPr>
                <w:b w:val="0"/>
                <w:sz w:val="21"/>
              </w:rPr>
              <w:t>的面積，並盡可能涵蓋更大面積。準則未指名</w:t>
            </w:r>
            <w:r>
              <w:rPr>
                <w:b w:val="0"/>
                <w:sz w:val="21"/>
              </w:rPr>
              <w:t xml:space="preserve"> 85%</w:t>
            </w:r>
          </w:p>
        </w:tc>
        <w:tc>
          <w:tcPr>
            <w:tcW w:type="dxa" w:w="143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FCTC-1，「Size」節（PDF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p.7）、總論（p.6）</w:t>
            </w:r>
          </w:p>
        </w:tc>
        <w:tc>
          <w:tcPr>
            <w:tcW w:type="dxa" w:w="9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E1–E3</w:t>
            </w:r>
          </w:p>
        </w:tc>
      </w:tr>
      <w:tr>
        <w:tc>
          <w:tcPr>
            <w:tcW w:type="dxa" w:w="10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電子煙健康風險</w:t>
            </w:r>
          </w:p>
        </w:tc>
        <w:tc>
          <w:tcPr>
            <w:tcW w:type="dxa" w:w="626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WHO：電子煙氣溶膠通常含尼古丁及其他有毒物質，部分已知致癌，並有物質增加心臟及肺部疾病風險；尼古丁高度成癮，兒童及青少年接觸會對腦部發育造成長期影響</w:t>
            </w:r>
          </w:p>
        </w:tc>
        <w:tc>
          <w:tcPr>
            <w:tcW w:type="dxa" w:w="143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WHO-1；中文轉引</w:t>
            </w:r>
            <w:r>
              <w:rPr>
                <w:b w:val="0"/>
                <w:sz w:val="21"/>
              </w:rPr>
              <w:t xml:space="preserve"> MOHW-1</w:t>
            </w:r>
          </w:p>
        </w:tc>
        <w:tc>
          <w:tcPr>
            <w:tcW w:type="dxa" w:w="9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A1–A4</w:t>
            </w:r>
          </w:p>
        </w:tc>
      </w:tr>
      <w:tr>
        <w:tc>
          <w:tcPr>
            <w:tcW w:type="dxa" w:w="101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 xml:space="preserve">2026 </w:t>
            </w:r>
            <w:r>
              <w:rPr>
                <w:b w:val="0"/>
                <w:sz w:val="21"/>
              </w:rPr>
              <w:t>年世界無菸日</w:t>
            </w:r>
          </w:p>
        </w:tc>
        <w:tc>
          <w:tcPr>
            <w:tcW w:type="dxa" w:w="626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主題為</w:t>
            </w:r>
            <w:r>
              <w:rPr>
                <w:b w:val="0"/>
                <w:sz w:val="21"/>
              </w:rPr>
              <w:t xml:space="preserve"> “Unmasking the appeal – countering nicotine and tobacco </w:t>
            </w:r>
            <w:r>
              <w:rPr>
                <w:b w:val="0"/>
                <w:sz w:val="21"/>
              </w:rPr>
              <w:t>addiction”（本稿簡稱</w:t>
            </w:r>
            <w:r>
              <w:rPr>
                <w:b w:val="0"/>
                <w:sz w:val="21"/>
              </w:rPr>
              <w:t xml:space="preserve"> Unmasking the </w:t>
            </w:r>
            <w:r>
              <w:rPr>
                <w:b w:val="0"/>
                <w:sz w:val="21"/>
              </w:rPr>
              <w:t>appeal）；WHO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說明該行動將揭露產業如何重新包裝產品以吸引新世代，特別是兒童與青少年</w:t>
            </w:r>
          </w:p>
        </w:tc>
        <w:tc>
          <w:tcPr>
            <w:tcW w:type="dxa" w:w="1433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WHO-4</w:t>
            </w:r>
          </w:p>
        </w:tc>
        <w:tc>
          <w:tcPr>
            <w:tcW w:type="dxa" w:w="92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F1、F2</w:t>
            </w:r>
          </w:p>
        </w:tc>
      </w:tr>
    </w:tbl>
    <w:bookmarkEnd w:id="23"/>
    <w:bookmarkStart w:id="24" w:name="c-級二手報導記者詢問時的回應用本稿未使用"/>
    <w:p>
      <w:pPr>
        <w:pStyle w:val="Heading3"/>
        <w:spacing w:line="312" w:lineRule="auto" w:after="120"/>
        <w:snapToGrid w:val="0"/>
      </w:pPr>
      <w:r>
        <w:t xml:space="preserve">C </w:t>
      </w:r>
      <w:r>
        <w:rPr>
          <w:rFonts w:hint="eastAsia"/>
        </w:rPr>
        <w:t xml:space="preserve">級：二手報導（記者詢問時的回應用，本稿未使用）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1"/>
        <w:gridCol w:w="5258"/>
        <w:gridCol w:w="2656"/>
        <w:gridCol w:w="861"/>
      </w:tblGrid>
      <w:tr>
        <w:tc>
          <w:tcPr>
            <w:tcW w:type="dxa" w:w="861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項目</w:t>
            </w:r>
          </w:p>
        </w:tc>
        <w:tc>
          <w:tcPr>
            <w:tcW w:type="dxa" w:w="5258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內容</w:t>
            </w:r>
          </w:p>
        </w:tc>
        <w:tc>
          <w:tcPr>
            <w:tcW w:type="dxa" w:w="2656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說明</w:t>
            </w:r>
          </w:p>
        </w:tc>
        <w:tc>
          <w:tcPr>
            <w:tcW w:type="dxa" w:w="861"/>
          </w:tcPr>
          <w:p>
            <w:pPr>
              <w:spacing w:line="276" w:lineRule="auto" w:after="40"/>
            </w:pPr>
            <w:r>
              <w:rPr>
                <w:b/>
                <w:sz w:val="21"/>
              </w:rPr>
              <w:t>代號</w:t>
            </w:r>
          </w:p>
        </w:tc>
      </w:tr>
      <w:tr>
        <w:tc>
          <w:tcPr>
            <w:tcW w:type="dxa" w:w="86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校園通報件數</w:t>
            </w:r>
          </w:p>
        </w:tc>
        <w:tc>
          <w:tcPr>
            <w:tcW w:type="dxa" w:w="5258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公視</w:t>
            </w:r>
            <w:r>
              <w:rPr>
                <w:b w:val="0"/>
                <w:sz w:val="21"/>
              </w:rPr>
              <w:t xml:space="preserve"> 2026 </w:t>
            </w:r>
            <w:r>
              <w:rPr>
                <w:b w:val="0"/>
                <w:sz w:val="21"/>
              </w:rPr>
              <w:t>年</w:t>
            </w:r>
            <w:r>
              <w:rPr>
                <w:b w:val="0"/>
                <w:sz w:val="21"/>
              </w:rPr>
              <w:t xml:space="preserve"> 7 </w:t>
            </w:r>
            <w:r>
              <w:rPr>
                <w:b w:val="0"/>
                <w:sz w:val="21"/>
              </w:rPr>
              <w:t>月</w:t>
            </w:r>
            <w:r>
              <w:rPr>
                <w:b w:val="0"/>
                <w:sz w:val="21"/>
              </w:rPr>
              <w:t xml:space="preserve"> 28 </w:t>
            </w:r>
            <w:r>
              <w:rPr>
                <w:b w:val="0"/>
                <w:sz w:val="21"/>
              </w:rPr>
              <w:t>日報導引述教育部校安通報系統：高中以下學生疑涉吸食電子煙通報件數，2024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年</w:t>
            </w:r>
            <w:r>
              <w:rPr>
                <w:b w:val="0"/>
                <w:sz w:val="21"/>
              </w:rPr>
              <w:t xml:space="preserve"> 499 </w:t>
            </w:r>
            <w:r>
              <w:rPr>
                <w:b w:val="0"/>
                <w:sz w:val="21"/>
              </w:rPr>
              <w:t>件、2025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年</w:t>
            </w:r>
            <w:r>
              <w:rPr>
                <w:b w:val="0"/>
                <w:sz w:val="21"/>
              </w:rPr>
              <w:t xml:space="preserve"> 1,692 </w:t>
            </w:r>
            <w:r>
              <w:rPr>
                <w:b w:val="0"/>
                <w:sz w:val="21"/>
              </w:rPr>
              <w:t>件、2026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>年上半年</w:t>
            </w:r>
            <w:r>
              <w:rPr>
                <w:b w:val="0"/>
                <w:sz w:val="21"/>
              </w:rPr>
              <w:t xml:space="preserve"> 1,243 </w:t>
            </w:r>
            <w:r>
              <w:rPr>
                <w:b w:val="0"/>
                <w:sz w:val="21"/>
              </w:rPr>
              <w:t>件</w:t>
            </w:r>
          </w:p>
        </w:tc>
        <w:tc>
          <w:tcPr>
            <w:tcW w:type="dxa" w:w="2656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單位是件數而非人數、是「疑涉」；出處僅為媒體報導，未取得教育部公開文件；年度與半年不可直接比較</w:t>
            </w:r>
          </w:p>
        </w:tc>
        <w:tc>
          <w:tcPr>
            <w:tcW w:type="dxa" w:w="861"/>
          </w:tcPr>
          <w:p>
            <w:pPr>
              <w:spacing w:line="276" w:lineRule="auto" w:after="40"/>
            </w:pPr>
            <w:r>
              <w:rPr>
                <w:b w:val="0"/>
                <w:sz w:val="21"/>
              </w:rPr>
              <w:t>N25</w:t>
            </w:r>
          </w:p>
        </w:tc>
      </w:tr>
    </w:tbl>
    <w:bookmarkEnd w:id="24"/>
    <w:bookmarkStart w:id="25" w:name="口徑說明"/>
    <w:p>
      <w:pPr>
        <w:pStyle w:val="Heading3"/>
        <w:spacing w:line="312" w:lineRule="auto" w:after="120"/>
        <w:snapToGrid w:val="0"/>
      </w:pPr>
      <w:r>
        <w:rPr>
          <w:rFonts w:hint="eastAsia"/>
        </w:rPr>
        <w:t xml:space="preserve">口徑說明</w:t>
      </w:r>
    </w:p>
    <w:p>
      <w:pPr>
        <w:pStyle w:val="Compact"/>
        <w:numPr>
          <w:ilvl w:val="0"/>
          <w:numId w:val="1001"/>
        </w:numPr>
        <w:spacing w:line="312" w:lineRule="auto" w:after="120"/>
        <w:snapToGrid w:val="0"/>
      </w:pPr>
      <w:r>
        <w:rPr>
          <w:rFonts w:hint="eastAsia"/>
          <w:b/>
          <w:bCs/>
        </w:rPr>
        <w:t xml:space="preserve">意見徵集，不是民調。</w:t>
      </w:r>
      <w:r>
        <w:t xml:space="preserve"> </w:t>
      </w:r>
      <w:r>
        <w:rPr>
          <w:rFonts w:hint="eastAsia"/>
        </w:rPr>
        <w:t xml:space="preserve">填答者自願填答、非隨機抽樣，主要經</w:t>
      </w:r>
      <w:r>
        <w:t xml:space="preserve"> LINE </w:t>
      </w:r>
      <w:r>
        <w:rPr>
          <w:rFonts w:hint="eastAsia"/>
        </w:rPr>
        <w:t xml:space="preserve">群組與朋友轉傳取得，不能推論到所有民眾。句式一律寫成「在</w:t>
      </w:r>
      <w:r>
        <w:t xml:space="preserve"> 1,225 </w:t>
      </w:r>
      <w:r>
        <w:rPr>
          <w:rFonts w:hint="eastAsia"/>
        </w:rPr>
        <w:t xml:space="preserve">位有效填答者中，1,151</w:t>
      </w:r>
      <w:r>
        <w:t xml:space="preserve"> </w:t>
      </w:r>
      <w:r>
        <w:rPr>
          <w:rFonts w:hint="eastAsia"/>
        </w:rPr>
        <w:t xml:space="preserve">位…」。</w:t>
      </w:r>
    </w:p>
    <w:p>
      <w:pPr>
        <w:pStyle w:val="Compact"/>
        <w:numPr>
          <w:ilvl w:val="0"/>
          <w:numId w:val="1001"/>
        </w:numPr>
        <w:spacing w:line="312" w:lineRule="auto" w:after="120"/>
        <w:snapToGrid w:val="0"/>
      </w:pPr>
      <w:r>
        <w:rPr>
          <w:rFonts w:hint="eastAsia"/>
          <w:b/>
          <w:bCs/>
        </w:rPr>
        <w:t xml:space="preserve">分母逐題不同。</w:t>
      </w:r>
      <w:r>
        <w:t xml:space="preserve"> </w:t>
      </w:r>
      <w:r>
        <w:t xml:space="preserve">1,239 </w:t>
      </w:r>
      <w:r>
        <w:rPr>
          <w:rFonts w:hint="eastAsia"/>
        </w:rPr>
        <w:t xml:space="preserve">位是填答者總數；「儘速三讀」題的分母是</w:t>
      </w:r>
      <w:r>
        <w:t xml:space="preserve"> 1,225 </w:t>
      </w:r>
      <w:r>
        <w:rPr>
          <w:rFonts w:hint="eastAsia"/>
        </w:rPr>
        <w:t xml:space="preserve">位有效填答者；支持</w:t>
      </w:r>
      <w:r>
        <w:t xml:space="preserve"> 85% </w:t>
      </w:r>
      <w:r>
        <w:rPr>
          <w:rFonts w:hint="eastAsia"/>
        </w:rPr>
        <w:t xml:space="preserve">的前後兩題分母分別是</w:t>
      </w:r>
      <w:r>
        <w:t xml:space="preserve"> 1,231 </w:t>
      </w:r>
      <w:r>
        <w:rPr>
          <w:rFonts w:hint="eastAsia"/>
        </w:rPr>
        <w:t xml:space="preserve">位與</w:t>
      </w:r>
      <w:r>
        <w:t xml:space="preserve"> 1,227 </w:t>
      </w:r>
      <w:r>
        <w:rPr>
          <w:rFonts w:hint="eastAsia"/>
        </w:rPr>
        <w:t xml:space="preserve">位。閱讀後的</w:t>
      </w:r>
      <w:r>
        <w:t xml:space="preserve"> 95.4% </w:t>
      </w:r>
      <w:r>
        <w:rPr>
          <w:rFonts w:hint="eastAsia"/>
        </w:rPr>
        <w:t xml:space="preserve">必須與閱讀前的</w:t>
      </w:r>
      <w:r>
        <w:t xml:space="preserve"> 93.8% </w:t>
      </w:r>
      <w:r>
        <w:rPr>
          <w:rFonts w:hint="eastAsia"/>
        </w:rPr>
        <w:t xml:space="preserve">並列。</w:t>
      </w:r>
    </w:p>
    <w:p>
      <w:pPr>
        <w:pStyle w:val="Compact"/>
        <w:numPr>
          <w:ilvl w:val="0"/>
          <w:numId w:val="1001"/>
        </w:numPr>
        <w:spacing w:line="312" w:lineRule="auto" w:after="120"/>
        <w:snapToGrid w:val="0"/>
      </w:pPr>
      <w:r>
        <w:rPr>
          <w:rFonts w:hint="eastAsia"/>
          <w:b/>
          <w:bCs/>
        </w:rPr>
        <w:t xml:space="preserve">並列第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95、並列第</w:t>
      </w:r>
      <w:r>
        <w:rPr>
          <w:b/>
          <w:bCs/>
        </w:rPr>
        <w:t xml:space="preserve"> 9。</w:t>
      </w:r>
      <w:r>
        <w:t xml:space="preserve"> </w:t>
      </w:r>
      <w:r>
        <w:rPr>
          <w:rFonts w:hint="eastAsia"/>
        </w:rPr>
        <w:t xml:space="preserve">加拿大癌症協會（CCS）2025</w:t>
      </w:r>
      <w:r>
        <w:t xml:space="preserve"> </w:t>
      </w:r>
      <w:r>
        <w:rPr>
          <w:rFonts w:hint="eastAsia"/>
        </w:rPr>
        <w:t xml:space="preserve">年報告以名次欄計，台灣現行</w:t>
      </w:r>
      <w:r>
        <w:t xml:space="preserve"> 50% </w:t>
      </w:r>
      <w:r>
        <w:rPr>
          <w:rFonts w:hint="eastAsia"/>
        </w:rPr>
        <w:t xml:space="preserve">與另</w:t>
      </w:r>
      <w:r>
        <w:t xml:space="preserve"> 35 </w:t>
      </w:r>
      <w:r>
        <w:rPr>
          <w:rFonts w:hint="eastAsia"/>
        </w:rPr>
        <w:t xml:space="preserve">個國家和地區同列第</w:t>
      </w:r>
      <w:r>
        <w:t xml:space="preserve"> </w:t>
      </w:r>
      <w:r>
        <w:rPr>
          <w:rFonts w:hint="eastAsia"/>
        </w:rPr>
        <w:t xml:space="preserve">95；提高到</w:t>
      </w:r>
      <w:r>
        <w:t xml:space="preserve"> 85% </w:t>
      </w:r>
      <w:r>
        <w:rPr>
          <w:rFonts w:hint="eastAsia"/>
        </w:rPr>
        <w:t xml:space="preserve">後的「並列第</w:t>
      </w:r>
      <w:r>
        <w:t xml:space="preserve"> </w:t>
      </w:r>
      <w:r>
        <w:rPr>
          <w:rFonts w:hint="eastAsia"/>
        </w:rPr>
        <w:t xml:space="preserve">9」依報告排名方式推算，報告本身未另寫並列規則。報告以「Taiwan,</w:t>
      </w:r>
      <w:r>
        <w:t xml:space="preserve"> </w:t>
      </w:r>
      <w:r>
        <w:rPr>
          <w:rFonts w:hint="eastAsia"/>
        </w:rPr>
        <w:t xml:space="preserve">China」標示台灣，對外只引名次與面積數字。</w:t>
      </w:r>
    </w:p>
    <w:p>
      <w:pPr>
        <w:pStyle w:val="Compact"/>
        <w:numPr>
          <w:ilvl w:val="0"/>
          <w:numId w:val="1001"/>
        </w:numPr>
        <w:spacing w:line="312" w:lineRule="auto" w:after="120"/>
        <w:snapToGrid w:val="0"/>
      </w:pPr>
      <w:r>
        <w:rPr>
          <w:rFonts w:hint="eastAsia"/>
          <w:b/>
          <w:bCs/>
        </w:rPr>
        <w:t xml:space="preserve">回收量換算是國健署口徑。</w:t>
      </w:r>
      <w:r>
        <w:t xml:space="preserve"> </w:t>
      </w:r>
      <w:r>
        <w:rPr>
          <w:rFonts w:hint="eastAsia"/>
        </w:rPr>
        <w:t xml:space="preserve">每支</w:t>
      </w:r>
      <w:r>
        <w:t xml:space="preserve"> 50 </w:t>
      </w:r>
      <w:r>
        <w:rPr>
          <w:rFonts w:hint="eastAsia"/>
        </w:rPr>
        <w:t xml:space="preserve">公克為國健署採用的平均重量換算；633</w:t>
      </w:r>
      <w:r>
        <w:t xml:space="preserve"> </w:t>
      </w:r>
      <w:r>
        <w:rPr>
          <w:rFonts w:hint="eastAsia"/>
        </w:rPr>
        <w:t xml:space="preserve">公斤是滿月累計回收重量，不等於市面流通量，也不代表問題已解決。</w:t>
      </w:r>
    </w:p>
    <w:p>
      <w:pPr>
        <w:pStyle w:val="Compact"/>
        <w:numPr>
          <w:ilvl w:val="0"/>
          <w:numId w:val="1001"/>
        </w:numPr>
        <w:spacing w:line="312" w:lineRule="auto" w:after="120"/>
        <w:snapToGrid w:val="0"/>
      </w:pPr>
      <w:r>
        <w:rPr>
          <w:rFonts w:hint="eastAsia"/>
          <w:b/>
          <w:bCs/>
        </w:rPr>
        <w:t xml:space="preserve">持有罰則是草案。</w:t>
      </w:r>
      <w:r>
        <w:t xml:space="preserve"> </w:t>
      </w:r>
      <w:r>
        <w:t xml:space="preserve">3 </w:t>
      </w:r>
      <w:r>
        <w:rPr>
          <w:rFonts w:hint="eastAsia"/>
        </w:rPr>
        <w:t xml:space="preserve">萬元以上</w:t>
      </w:r>
      <w:r>
        <w:t xml:space="preserve"> 10 </w:t>
      </w:r>
      <w:r>
        <w:rPr>
          <w:rFonts w:hint="eastAsia"/>
        </w:rPr>
        <w:t xml:space="preserve">萬元以下罰鍰為草案規劃，尚未生效；現行法對「持有」尚無處罰。</w:t>
      </w:r>
    </w:p>
    <w:p>
      <w:pPr>
        <w:pStyle w:val="Compact"/>
        <w:numPr>
          <w:ilvl w:val="0"/>
          <w:numId w:val="1001"/>
        </w:numPr>
        <w:spacing w:line="312" w:lineRule="auto" w:after="120"/>
        <w:snapToGrid w:val="0"/>
      </w:pPr>
      <w:r>
        <w:rPr>
          <w:b/>
          <w:bCs/>
        </w:rPr>
        <w:t xml:space="preserve">FCTC </w:t>
      </w:r>
      <w:r>
        <w:rPr>
          <w:rFonts w:hint="eastAsia"/>
          <w:b/>
          <w:bCs/>
        </w:rPr>
        <w:t xml:space="preserve">準則未指名</w:t>
      </w:r>
      <w:r>
        <w:rPr>
          <w:b/>
          <w:bCs/>
        </w:rPr>
        <w:t xml:space="preserve"> 85%。</w:t>
      </w:r>
      <w:r>
        <w:t xml:space="preserve"> </w:t>
      </w:r>
      <w:r>
        <w:rPr>
          <w:rFonts w:hint="eastAsia"/>
        </w:rPr>
        <w:t xml:space="preserve">不能寫成「WHO</w:t>
      </w:r>
      <w:r>
        <w:t xml:space="preserve"> </w:t>
      </w:r>
      <w:r>
        <w:rPr>
          <w:rFonts w:hint="eastAsia"/>
        </w:rPr>
        <w:t xml:space="preserve">建議</w:t>
      </w:r>
      <w:r>
        <w:t xml:space="preserve"> </w:t>
      </w:r>
      <w:r>
        <w:rPr>
          <w:rFonts w:hint="eastAsia"/>
        </w:rPr>
        <w:t xml:space="preserve">85%」；準則的依據是「面積愈大、效果愈強」，並建議各國考慮採用超過</w:t>
      </w:r>
      <w:r>
        <w:t xml:space="preserve"> 50%。</w:t>
      </w:r>
    </w:p>
    <w:p>
      <w:pPr>
        <w:pStyle w:val="Compact"/>
        <w:numPr>
          <w:ilvl w:val="0"/>
          <w:numId w:val="1001"/>
        </w:numPr>
        <w:spacing w:line="312" w:lineRule="auto" w:after="120"/>
        <w:snapToGrid w:val="0"/>
      </w:pPr>
      <w:r>
        <w:rPr>
          <w:b/>
          <w:bCs/>
        </w:rPr>
        <w:t xml:space="preserve">WHO </w:t>
      </w:r>
      <w:r>
        <w:rPr>
          <w:rFonts w:hint="eastAsia"/>
          <w:b/>
          <w:bCs/>
        </w:rPr>
        <w:t xml:space="preserve">健康風險段</w:t>
      </w:r>
      <w:r>
        <w:rPr>
          <w:rFonts w:hint="eastAsia"/>
        </w:rPr>
        <w:t xml:space="preserve">內容與衛福部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日新聞稿同段文字相近；引用時以</w:t>
      </w:r>
      <w:r>
        <w:t xml:space="preserve"> WHO </w:t>
      </w:r>
      <w:r>
        <w:rPr>
          <w:rFonts w:hint="eastAsia"/>
        </w:rPr>
        <w:t xml:space="preserve">為出處，中文轉引標示衛福部新聞稿。</w:t>
      </w:r>
    </w:p>
    <w:p>
      <w:pPr>
        <w:pStyle w:val="Compact"/>
        <w:numPr>
          <w:ilvl w:val="0"/>
          <w:numId w:val="1001"/>
        </w:numPr>
        <w:spacing w:line="312" w:lineRule="auto" w:after="120"/>
        <w:snapToGrid w:val="0"/>
      </w:pPr>
      <w:r>
        <w:rPr>
          <w:rFonts w:hint="eastAsia"/>
          <w:b/>
          <w:bCs/>
        </w:rPr>
        <w:t xml:space="preserve">宣導影片</w:t>
      </w:r>
      <w:r>
        <w:rPr>
          <w:rFonts w:hint="eastAsia"/>
        </w:rPr>
        <w:t xml:space="preserve">《拒絕所有菸品，從看懂菸商伎倆開始》：董氏基金會菸害防制中心</w:t>
      </w:r>
      <w:r>
        <w:t xml:space="preserve"> YouTube </w:t>
      </w:r>
      <w:r>
        <w:rPr>
          <w:rFonts w:hint="eastAsia"/>
        </w:rPr>
        <w:t xml:space="preserve">頻道一手</w:t>
      </w:r>
      <w:r>
        <w:t xml:space="preserve"> </w:t>
      </w:r>
      <w:r>
        <w:rPr>
          <w:rFonts w:hint="eastAsia"/>
        </w:rPr>
        <w:t xml:space="preserve">https://www.youtube.com/watch?v=726wgP9m2rw（片長</w:t>
      </w:r>
      <w:r>
        <w:t xml:space="preserve"> 4 </w:t>
      </w:r>
      <w:r>
        <w:rPr>
          <w:rFonts w:hint="eastAsia"/>
        </w:rPr>
        <w:t xml:space="preserve">分</w:t>
      </w:r>
      <w:r>
        <w:t xml:space="preserve"> 37 </w:t>
      </w:r>
      <w:r>
        <w:rPr>
          <w:rFonts w:hint="eastAsia"/>
        </w:rPr>
        <w:t xml:space="preserve">秒，2026-10-12</w:t>
      </w:r>
      <w:r>
        <w:t xml:space="preserve"> </w:t>
      </w:r>
      <w:r>
        <w:rPr>
          <w:rFonts w:hint="eastAsia"/>
        </w:rPr>
        <w:t xml:space="preserve">上傳）。</w:t>
      </w:r>
    </w:p>
    <w:p>
      <w:pPr>
        <w:pStyle w:val="Compact"/>
        <w:numPr>
          <w:ilvl w:val="0"/>
          <w:numId w:val="1001"/>
        </w:numPr>
        <w:spacing w:line="312" w:lineRule="auto" w:after="120"/>
        <w:snapToGrid w:val="0"/>
      </w:pPr>
      <w:r>
        <w:rPr>
          <w:rFonts w:hint="eastAsia"/>
          <w:b/>
          <w:bCs/>
        </w:rPr>
        <w:t xml:space="preserve">校園通報件數（C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級）</w:t>
      </w:r>
      <w:r>
        <w:rPr>
          <w:rFonts w:hint="eastAsia"/>
        </w:rPr>
        <w:t xml:space="preserve">：只在被詢問時回應，須同時說明單位、出處與不可比較之處。</w:t>
      </w:r>
    </w:p>
    <w:p>
      <w:pPr>
        <w:pStyle w:val="Compact"/>
        <w:numPr>
          <w:ilvl w:val="0"/>
          <w:numId w:val="1001"/>
        </w:numPr>
        <w:spacing w:line="312" w:lineRule="auto" w:after="120"/>
        <w:snapToGrid w:val="0"/>
      </w:pPr>
      <w:r>
        <w:rPr>
          <w:rFonts w:hint="eastAsia"/>
          <w:b/>
          <w:bCs/>
        </w:rPr>
        <w:t xml:space="preserve">郭斐然醫師</w:t>
      </w:r>
      <w:r>
        <w:rPr>
          <w:rFonts w:hint="eastAsia"/>
        </w:rPr>
        <w:t xml:space="preserve">的健康風險與環境驅動論述，出處為其臺大醫院健康電子報文章（NTUH-1）與</w:t>
      </w:r>
      <w:r>
        <w:t xml:space="preserve"> </w:t>
      </w:r>
      <w:r>
        <w:rPr>
          <w:rFonts w:hint="eastAsia"/>
        </w:rPr>
        <w:t xml:space="preserve">WHO；引號內文字限於原文可逐字查到者。</w:t>
      </w:r>
    </w:p>
    <w:bookmarkEnd w:id="25"/>
    <w:bookmarkStart w:id="26" w:name="參考資料apa-第-7-版"/>
    <w:p>
      <w:pPr>
        <w:pStyle w:val="Heading3"/>
        <w:spacing w:line="312" w:lineRule="auto" w:after="120"/>
        <w:snapToGrid w:val="0"/>
      </w:pPr>
      <w:r>
        <w:rPr>
          <w:rFonts w:hint="eastAsia"/>
        </w:rPr>
        <w:t xml:space="preserve">參考資料（APA</w:t>
      </w:r>
      <w:r>
        <w:t xml:space="preserve">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t xml:space="preserve">Canadian Cancer Society. (2025, October).</w:t>
      </w:r>
      <w:r>
        <w:t xml:space="preserve"> </w:t>
      </w:r>
      <w:r>
        <w:rPr>
          <w:i/>
          <w:iCs/>
        </w:rPr>
        <w:t xml:space="preserve">Cigarette package health warnings: International status report</w:t>
      </w:r>
      <w:r>
        <w:t xml:space="preserve"> </w:t>
      </w:r>
      <w:r>
        <w:t xml:space="preserve">(9th ed.). https://cancer.ca/-/media/files/about-us/media-releases/2025/international-tobacco-report/ccs-international-cigarette-packaging-report-2025—-english.pdf </w:t>
      </w:r>
      <w:r>
        <w:rPr>
          <w:rFonts w:hint="eastAsia"/>
        </w:rPr>
        <w:t xml:space="preserve">（CCS-1）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rPr>
          <w:rFonts w:hint="eastAsia"/>
        </w:rPr>
        <w:t xml:space="preserve">中央通訊社（2026年10月15日）。</w:t>
      </w:r>
      <w:r>
        <w:rPr>
          <w:rFonts w:hint="eastAsia"/>
          <w:i/>
          <w:iCs/>
        </w:rPr>
        <w:t xml:space="preserve">國健署：電子煙回收滿月累計633公斤</w:t>
      </w:r>
      <w:r>
        <w:rPr>
          <w:rFonts w:hint="eastAsia"/>
        </w:rPr>
        <w:t xml:space="preserve">（國健署副署長林莉茹說明）。https://www.cna.com.tw/news/ahel/202610150096.aspx</w:t>
      </w:r>
      <w:r>
        <w:t xml:space="preserve"> </w:t>
      </w:r>
      <w:r>
        <w:rPr>
          <w:rFonts w:hint="eastAsia"/>
        </w:rPr>
        <w:t xml:space="preserve">（CNA-1）〔標題為依</w:t>
      </w:r>
      <w:r>
        <w:t xml:space="preserve"> URL </w:t>
      </w:r>
      <w:r>
        <w:rPr>
          <w:rFonts w:hint="eastAsia"/>
        </w:rPr>
        <w:t xml:space="preserve">與內容之描述性標示，非原標題逐字〕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rPr>
          <w:rFonts w:hint="eastAsia"/>
        </w:rPr>
        <w:t xml:space="preserve">公視新聞網（2026年7月28日）。</w:t>
      </w:r>
      <w:r>
        <w:rPr>
          <w:rFonts w:hint="eastAsia"/>
          <w:i/>
          <w:iCs/>
        </w:rPr>
        <w:t xml:space="preserve">校園電子煙通報增至近1700件</w:t>
      </w:r>
      <w:r>
        <w:t xml:space="preserve">。https://news.pts.org.tw/article/819690 </w:t>
      </w:r>
      <w:r>
        <w:rPr>
          <w:rFonts w:hint="eastAsia"/>
        </w:rPr>
        <w:t xml:space="preserve">（PTS-1；C</w:t>
      </w:r>
      <w:r>
        <w:t xml:space="preserve"> </w:t>
      </w:r>
      <w:r>
        <w:rPr>
          <w:rFonts w:hint="eastAsia"/>
        </w:rPr>
        <w:t xml:space="preserve">級）〔標題為描述性標示〕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rPr>
          <w:rFonts w:hint="eastAsia"/>
        </w:rPr>
        <w:t xml:space="preserve">行政院（2026年6月25日）。</w:t>
      </w:r>
      <w:r>
        <w:rPr>
          <w:rFonts w:hint="eastAsia"/>
          <w:i/>
          <w:iCs/>
        </w:rPr>
        <w:t xml:space="preserve">依托咪酯列為第一級毒品公告</w:t>
      </w:r>
      <w:r>
        <w:rPr>
          <w:rFonts w:hint="eastAsia"/>
        </w:rPr>
        <w:t xml:space="preserve">（院臺法字第</w:t>
      </w:r>
      <w:r>
        <w:t xml:space="preserve"> 1155013102 </w:t>
      </w:r>
      <w:r>
        <w:rPr>
          <w:rFonts w:hint="eastAsia"/>
        </w:rPr>
        <w:t xml:space="preserve">號）。〔公告網址未附〕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rPr>
          <w:rFonts w:hint="eastAsia"/>
        </w:rPr>
        <w:t xml:space="preserve">衛生福利部國民健康署（2026年8月25日）。</w:t>
      </w:r>
      <w:r>
        <w:rPr>
          <w:rFonts w:hint="eastAsia"/>
          <w:i/>
          <w:iCs/>
        </w:rPr>
        <w:t xml:space="preserve">電子煙不是潮流</w:t>
      </w:r>
      <w:r>
        <w:rPr>
          <w:i/>
          <w:iCs/>
        </w:rPr>
        <w:t xml:space="preserve">　</w:t>
      </w:r>
      <w:r>
        <w:rPr>
          <w:rFonts w:hint="eastAsia"/>
          <w:i/>
          <w:iCs/>
        </w:rPr>
        <w:t xml:space="preserve">是健康陷阱！「三不一要」拒絕電子煙</w:t>
      </w:r>
      <w:r>
        <w:t xml:space="preserve"> </w:t>
      </w:r>
      <w:r>
        <w:rPr>
          <w:rFonts w:hint="eastAsia"/>
        </w:rPr>
        <w:t xml:space="preserve">[新聞稿]。衛生福利部。https://www.mohw.gov.tw/cp-16-87573-1.html</w:t>
      </w:r>
      <w:r>
        <w:t xml:space="preserve"> </w:t>
      </w:r>
      <w:r>
        <w:rPr>
          <w:rFonts w:hint="eastAsia"/>
        </w:rPr>
        <w:t xml:space="preserve">（MOHW-1）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rPr>
          <w:rFonts w:hint="eastAsia"/>
        </w:rPr>
        <w:t xml:space="preserve">衛生福利部國民健康署（2026年9月5日）。</w:t>
      </w:r>
      <w:r>
        <w:rPr>
          <w:rFonts w:hint="eastAsia"/>
          <w:i/>
          <w:iCs/>
        </w:rPr>
        <w:t xml:space="preserve">電子煙修法增訂持有罰則</w:t>
      </w:r>
      <w:r>
        <w:rPr>
          <w:i/>
          <w:iCs/>
        </w:rPr>
        <w:t xml:space="preserve">　</w:t>
      </w:r>
      <w:r>
        <w:rPr>
          <w:rFonts w:hint="eastAsia"/>
          <w:i/>
          <w:iCs/>
        </w:rPr>
        <w:t xml:space="preserve">全台431處回收點9月8日起免具名開放投遞</w:t>
      </w:r>
      <w:r>
        <w:t xml:space="preserve"> </w:t>
      </w:r>
      <w:r>
        <w:rPr>
          <w:rFonts w:hint="eastAsia"/>
        </w:rPr>
        <w:t xml:space="preserve">[新聞稿]。衛生福利部。https://www.mohw.gov.tw/cp-16-87793-1.html</w:t>
      </w:r>
      <w:r>
        <w:t xml:space="preserve"> </w:t>
      </w:r>
      <w:r>
        <w:rPr>
          <w:rFonts w:hint="eastAsia"/>
        </w:rPr>
        <w:t xml:space="preserve">（MOHW-2）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rPr>
          <w:rFonts w:hint="eastAsia"/>
        </w:rPr>
        <w:t xml:space="preserve">立法院（2026）。</w:t>
      </w:r>
      <w:r>
        <w:rPr>
          <w:rFonts w:hint="eastAsia"/>
          <w:i/>
          <w:iCs/>
        </w:rPr>
        <w:t xml:space="preserve">立法院公報</w:t>
      </w:r>
      <w:r>
        <w:rPr>
          <w:rFonts w:hint="eastAsia"/>
        </w:rPr>
        <w:t xml:space="preserve">，115(68)，343–350（社會福利及衛生環境委員會《菸害防制法》修正案黨團協商紀錄，2026年7月30日）。立法院。〔公報全文網址未附〕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rPr>
          <w:rFonts w:hint="eastAsia"/>
        </w:rPr>
        <w:t xml:space="preserve">立法院社會福利及衛生環境委員會（2026）。</w:t>
      </w:r>
      <w:r>
        <w:rPr>
          <w:rFonts w:hint="eastAsia"/>
          <w:i/>
          <w:iCs/>
        </w:rPr>
        <w:t xml:space="preserve">審查報告：菸害防制法部分條文修正草案</w:t>
      </w:r>
      <w:r>
        <w:rPr>
          <w:rFonts w:hint="eastAsia"/>
        </w:rPr>
        <w:t xml:space="preserve">（議案編號</w:t>
      </w:r>
      <w:r>
        <w:t xml:space="preserve"> </w:t>
      </w:r>
      <w:r>
        <w:rPr>
          <w:rFonts w:hint="eastAsia"/>
        </w:rPr>
        <w:t xml:space="preserve">203110228570000）。https://ppg.ly.gov.tw/ppg/bills/203110228570000/details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rPr>
          <w:rFonts w:hint="eastAsia"/>
        </w:rPr>
        <w:t xml:space="preserve">郭斐然（2026年5月）。環境比意志力更關鍵：青少年的菸害防制。</w:t>
      </w:r>
      <w:r>
        <w:rPr>
          <w:rFonts w:hint="eastAsia"/>
          <w:i/>
          <w:iCs/>
        </w:rPr>
        <w:t xml:space="preserve">臺大醫院健康電子報</w:t>
      </w:r>
      <w:r>
        <w:rPr>
          <w:rFonts w:hint="eastAsia"/>
        </w:rPr>
        <w:t xml:space="preserve">，（222），1–10。https://epaper.ntuh.gov.tw/health/202605/PDF/%E9%9D%92%E5%B0%91%E5%B9%B4%E7%9A%84%E8%8F%B8%E5%AE%B3%E9%98%B2%E5%88%B6.pdf</w:t>
      </w:r>
      <w:r>
        <w:t xml:space="preserve"> </w:t>
      </w:r>
      <w:r>
        <w:rPr>
          <w:rFonts w:hint="eastAsia"/>
        </w:rPr>
        <w:t xml:space="preserve">（NTUH-1）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rPr>
          <w:rFonts w:hint="eastAsia"/>
        </w:rPr>
        <w:t xml:space="preserve">國教行動聯盟（2026）。</w:t>
      </w:r>
      <w:r>
        <w:rPr>
          <w:rFonts w:hint="eastAsia"/>
          <w:i/>
          <w:iCs/>
        </w:rPr>
        <w:t xml:space="preserve">「菸盒警示圖文要放大到85%？」意見徵集</w:t>
      </w:r>
      <w:r>
        <w:rPr>
          <w:rFonts w:hint="eastAsia"/>
        </w:rPr>
        <w:t xml:space="preserve">（2026年8月21日至24日，1,239位填答者）[未出版原始資料；自願填答、非隨機抽樣]。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t xml:space="preserve">World Health Organization. (2024, January 19).</w:t>
      </w:r>
      <w:r>
        <w:t xml:space="preserve"> </w:t>
      </w:r>
      <w:r>
        <w:rPr>
          <w:i/>
          <w:iCs/>
        </w:rPr>
        <w:t xml:space="preserve">Tobacco: E-cigarettes</w:t>
      </w:r>
      <w:r>
        <w:t xml:space="preserve"> </w:t>
      </w:r>
      <w:r>
        <w:t xml:space="preserve">[Questions and answers]. https://www.who.int/news-room/questions-and-answers/item/tobacco-e-cigarettes </w:t>
      </w:r>
      <w:r>
        <w:rPr>
          <w:rFonts w:hint="eastAsia"/>
        </w:rPr>
        <w:t xml:space="preserve">（WHO-1）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t xml:space="preserve">World Health Organization. (2025, October 17).</w:t>
      </w:r>
      <w:r>
        <w:t xml:space="preserve"> </w:t>
      </w:r>
      <w:r>
        <w:rPr>
          <w:i/>
          <w:iCs/>
        </w:rPr>
        <w:t xml:space="preserve">World No Tobacco Day 2026: Unmasking the appeal – countering nicotine and tobacco addiction</w:t>
      </w:r>
      <w:r>
        <w:t xml:space="preserve"> </w:t>
      </w:r>
      <w:r>
        <w:t xml:space="preserve">[Departmental update]. https://www.who.int/news/item/17-10-2025-world-no-tobacco-day-2026–unmasking-the-appeal—countering-nicotine-and-tobacco-addiction </w:t>
      </w:r>
      <w:r>
        <w:rPr>
          <w:rFonts w:hint="eastAsia"/>
        </w:rPr>
        <w:t xml:space="preserve">（WHO-4）</w:t>
      </w:r>
    </w:p>
    <w:p>
      <w:pPr>
        <w:pStyle w:val="Compact"/>
        <w:numPr>
          <w:ilvl w:val="0"/>
          <w:numId w:val="1002"/>
        </w:numPr>
        <w:spacing w:line="312" w:lineRule="auto" w:after="120"/>
        <w:snapToGrid w:val="0"/>
      </w:pPr>
      <w:r>
        <w:t xml:space="preserve">WHO Framework Convention on Tobacco Control. (2013).</w:t>
      </w:r>
      <w:r>
        <w:t xml:space="preserve"> </w:t>
      </w:r>
      <w:r>
        <w:rPr>
          <w:i/>
          <w:iCs/>
        </w:rPr>
        <w:t xml:space="preserve">Guidelines for implementation of Article 11: Packaging and labelling of tobacco products</w:t>
      </w:r>
      <w:r>
        <w:t xml:space="preserve"> </w:t>
      </w:r>
      <w:r>
        <w:t xml:space="preserve">(2013 ed.). World Health Organization. https://fctc.who.int/docs/librariesprovider12/technical-documents/who-fctc-article-11.pdf </w:t>
      </w:r>
      <w:r>
        <w:rPr>
          <w:rFonts w:hint="eastAsia"/>
        </w:rPr>
        <w:t xml:space="preserve">（FCTC-1）</w:t>
      </w:r>
    </w:p>
    <w:bookmarkEnd w:id="26"/>
    <w:bookmarkEnd w:id="27"/>
    <w:bookmarkEnd w:id="28"/>
    <w:sectPr>
      <w:headerReference r:id="rId7" w:type="default"/>
      <w:footerReference r:id="rId8" w:type="default"/>
      <w:pgSz w:h="16838" w:orient="portrait" w:w="11906"/>
      <w:pgMar w:bottom="1250" w:footer="708" w:gutter="0" w:header="708" w:left="1134" w:right="1134" w:top="170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A18E" w:sz="12" w:space="2"/>
      </w:pBdr>
      <w:spacing w:after="40"/>
    </w:pPr>
  </w:p>
  <w:p>
    <w:pPr>
      <w:spacing w:after="0"/>
      <w:jc w:val="center"/>
    </w:pPr>
    <w:r>
      <w:rPr>
        <w:rFonts w:ascii="Calibri" w:cs="Calibri" w:eastAsia="PMingLiU" w:hAnsi="Calibri"/>
        <w:color w:val="6B6461"/>
        <w:sz w:val="16"/>
        <w:szCs w:val="16"/>
      </w:rPr>
      <w:t xml:space="preserve">國教行動聯盟（民間團體）｜Action Alliance on Basic Education (AABE)｜官網 aabe.org.tw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800"/>
      <w:gridCol w:w="3838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spacing w:after="0"/>
          </w:pPr>
          <w:r>
            <w:drawing>
              <wp:inline distT="0" distB="0" distL="0" distR="0">
                <wp:extent cx="2038350" cy="4667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spacing w:after="0"/>
            <w:jc w:val="right"/>
          </w:pPr>
          <w:r>
            <w:rPr>
              <w:rFonts w:ascii="Calibri" w:cs="Calibri" w:eastAsia="PMingLiU" w:hAnsi="Calibri"/>
              <w:b/>
              <w:bCs/>
              <w:color w:val="3F3B3A"/>
              <w:sz w:val="36"/>
              <w:szCs w:val="36"/>
            </w:rPr>
            <w:t xml:space="preserve">記　者　素　材　包</w:t>
          </w:r>
        </w:p>
        <w:p>
          <w:pPr>
            <w:spacing w:after="0"/>
            <w:jc w:val="right"/>
          </w:pPr>
          <w:r>
            <w:rPr>
              <w:rFonts w:ascii="Calibri" w:cs="Calibri" w:eastAsia="PMingLiU" w:hAnsi="Calibri"/>
              <w:color w:val="6B6461"/>
              <w:sz w:val="14"/>
              <w:szCs w:val="14"/>
            </w:rPr>
            <w:t xml:space="preserve">MEDIA KIT</w:t>
          </w:r>
        </w:p>
      </w:tc>
    </w:tr>
  </w:tbl>
  <w:p>
    <w:pPr>
      <w:pBdr>
        <w:bottom w:val="single" w:color="2BA18E" w:sz="18" w:space="1"/>
      </w:pBdr>
      <w:spacing w:after="0" w:before="80"/>
    </w:pPr>
  </w:p>
  <w:p>
    <w:pPr>
      <w:pBdr>
        <w:bottom w:val="single" w:color="EC9B32" w:sz="5" w:space="1"/>
      </w:pBdr>
      <w:spacing w:after="60" w:before="10"/>
    </w:pPr>
  </w:p>
  <w:p>
    <w:pPr>
      <w:tabs>
        <w:tab w:val="right" w:pos="9026"/>
      </w:tabs>
      <w:spacing w:after="0"/>
      <w:jc w:val="left"/>
    </w:pPr>
    <w:r>
      <w:rPr>
        <w:rFonts w:ascii="Calibri" w:cs="Calibri" w:eastAsia="PMingLiU" w:hAnsi="Calibri"/>
        <w:color w:val="6B6461"/>
        <w:sz w:val="18"/>
        <w:szCs w:val="18"/>
      </w:rPr>
      <w:t xml:space="preserve">記者會日期：2026年10月19日（星期一）</w:t>
    </w:r>
    <w:r>
      <w:rPr>
        <w:rFonts w:ascii="Calibri" w:cs="Calibri" w:eastAsia="PMingLiU" w:hAnsi="Calibri"/>
        <w:color w:val="6B6461"/>
        <w:sz w:val="18"/>
        <w:szCs w:val="18"/>
      </w:rPr>
      <w:t xml:space="preserve">	供媒體參考　FOR MEDIA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chineseCounting"/>
      <w:lvlText w:val="%1、"/>
      <w:lvlJc w:val="left"/>
      <w:pPr>
        <w:ind w:hanging="680" w:left="680"/>
      </w:pPr>
      <w:rPr>
        <w:b/>
        <w:bCs/>
        <w:color w:val="2BA18E"/>
      </w:r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PMingLiU" w:hAnsi="Calibri"/>
        <w:color w:val="3F3B3A"/>
        <w:sz w:val="24"/>
        <w:szCs w:val="24"/>
      </w:rPr>
    </w:rPrDefault>
    <w:pPrDefault>
      <w:pPr>
        <w:spacing w:line="4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6" Type="http://schemas.openxmlformats.org/officeDocument/2006/relationships/numbering" Target="numbering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webSettings" Target="web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notes" Target="footnotes.xml"/><Relationship Id="rId9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7" Type="http://schemas.openxmlformats.org/officeDocument/2006/relationships/image" Target="media/rId17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76cd72beeab6f42cf0b1de3ec3b6dc38cea13f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2026-10-19T00:10:55Z</dcterms:created>
  <dcterms:modified xsi:type="dcterms:W3CDTF">2026-10-19T00:10:55Z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