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320"/>
        <w:jc w:val="center"/>
      </w:pPr>
      <w:r>
        <w:rPr>
          <w:rFonts w:ascii="新細明體" w:cs="新細明體" w:eastAsia="新細明體" w:hAnsi="新細明體"/>
          <w:b/>
          <w:bCs/>
          <w:i w:val="false"/>
          <w:iCs w:val="false"/>
          <w:color w:val="0E2238"/>
          <w:sz w:val="32"/>
          <w:szCs w:val="32"/>
        </w:rPr>
        <w:t xml:space="preserve">兩公約第四次審查 · 場次⑤ NGO 發言稿</w:t>
      </w:r>
    </w:p>
    <w:p>
      <w:pPr>
        <w:spacing w:after="60" w:before="0" w:line="3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2238"/>
          <w:sz w:val="24"/>
          <w:szCs w:val="24"/>
        </w:rPr>
        <w:t xml:space="preserve">Statement at Civil Society Session 5</w:t>
      </w:r>
    </w:p>
    <w:p>
      <w:pPr>
        <w:spacing w:after="40" w:before="0" w:line="320"/>
        <w:jc w:val="center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5C5C5C"/>
          <w:sz w:val="20"/>
          <w:szCs w:val="20"/>
        </w:rPr>
        <w:t xml:space="preserve">時間 / Time:2026-05-13(三)17:20-18:20</w:t>
      </w:r>
    </w:p>
    <w:p>
      <w:pPr>
        <w:spacing w:after="40" w:before="0" w:line="320"/>
        <w:jc w:val="center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5C5C5C"/>
          <w:sz w:val="20"/>
          <w:szCs w:val="20"/>
        </w:rPr>
        <w:t xml:space="preserve">地點 / Venue:張榮發基金會國際會議中心</w:t>
      </w:r>
    </w:p>
    <w:p>
      <w:pPr>
        <w:spacing w:after="40" w:before="0" w:line="320"/>
        <w:jc w:val="center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5C5C5C"/>
          <w:sz w:val="20"/>
          <w:szCs w:val="20"/>
        </w:rPr>
        <w:t xml:space="preserve">條文範圍 / Article Range:ICCPR §18-25 + ICESCR §13-15</w:t>
      </w:r>
    </w:p>
    <w:p>
      <w:pPr>
        <w:spacing w:after="40" w:before="0" w:line="320"/>
        <w:jc w:val="center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5C5C5C"/>
          <w:sz w:val="20"/>
          <w:szCs w:val="20"/>
        </w:rPr>
        <w:t xml:space="preserve">發言時間 / Duration:8 分鐘 + 90 秒英文摘要</w:t>
      </w:r>
    </w:p>
    <w:p>
      <w:pPr>
        <w:pBdr>
          <w:bottom w:val="single" w:color="5D3A1A" w:sz="12" w:space="0"/>
        </w:pBdr>
        <w:spacing w:after="240" w:before="0" w:line="32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Bdr>
          <w:bottom w:val="single" w:color="5C1A1B" w:sz="12" w:space="0"/>
        </w:pBdr>
        <w:spacing w:after="240" w:before="0" w:line="32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0" w:line="320"/>
      </w:pPr>
      <w:r>
        <w:rPr>
          <w:rFonts w:ascii="新細明體" w:cs="新細明體" w:eastAsia="新細明體" w:hAnsi="新細明體"/>
          <w:b/>
          <w:bCs/>
          <w:i w:val="false"/>
          <w:iCs w:val="false"/>
          <w:color w:val="0E2238"/>
          <w:sz w:val="26"/>
          <w:szCs w:val="26"/>
        </w:rPr>
        <w:t xml:space="preserve">一、中文發言稿(約 8 分鐘 / 1000 字)</w:t>
      </w:r>
    </w:p>
    <w:p>
      <w:pPr>
        <w:pStyle w:val="Heading3"/>
        <w:spacing w:after="100" w:before="0" w:line="320"/>
      </w:pPr>
      <w:r>
        <w:rPr>
          <w:rFonts w:ascii="新細明體" w:cs="新細明體" w:eastAsia="新細明體" w:hAnsi="新細明體"/>
          <w:b/>
          <w:bCs/>
          <w:i w:val="false"/>
          <w:iCs w:val="false"/>
          <w:color w:val="B5371F"/>
          <w:sz w:val="23"/>
          <w:szCs w:val="23"/>
        </w:rPr>
        <w:t xml:space="preserve">【開場】(0:00-1:00)</w:t>
      </w:r>
    </w:p>
    <w:p>
      <w:pPr>
        <w:spacing w:after="100" w:before="0" w:line="36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各位審查委員、各位先進,大家午安。</w:t>
      </w:r>
    </w:p>
    <w:p>
      <w:pPr>
        <w:spacing w:after="100" w:before="0" w:line="36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我代表國教行動聯盟(AABE)。本盟為跨團體之教育與家庭權益倡議網絡,長期關注兒少身心健康、教育選擇權、與宗教自由議題。</w:t>
      </w:r>
    </w:p>
    <w:p>
      <w:pPr>
        <w:spacing w:after="240" w:before="0" w:line="36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針對下午審查之 ICCPR §18-25 + ICESCR §13-15 條文範圍,本盟提出三個被選擇性忽視之核心保障。</w:t>
      </w:r>
    </w:p>
    <w:p>
      <w:pPr>
        <w:pStyle w:val="Heading3"/>
        <w:spacing w:after="100" w:before="0" w:line="320"/>
      </w:pPr>
      <w:r>
        <w:rPr>
          <w:rFonts w:ascii="新細明體" w:cs="新細明體" w:eastAsia="新細明體" w:hAnsi="新細明體"/>
          <w:b/>
          <w:bCs/>
          <w:i w:val="false"/>
          <w:iCs w:val="false"/>
          <w:color w:val="B5371F"/>
          <w:sz w:val="23"/>
          <w:szCs w:val="23"/>
        </w:rPr>
        <w:t xml:space="preserve">【觀察一】§18 + §26 同位階保障(1:00-3:00)</w:t>
      </w:r>
    </w:p>
    <w:p>
      <w:pPr>
        <w:spacing w:after="100" w:before="0" w:line="36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聯合國人權事務委員會 General Comment 22 第 11 段明示:思想良心宗教自由之核心(forum internum)為</w:t>
      </w:r>
      <w:r>
        <w:rPr>
          <w:rFonts w:ascii="新細明體" w:cs="新細明體" w:eastAsia="新細明體" w:hAnsi="新細明體"/>
          <w:b/>
          <w:bCs/>
          <w:i w:val="false"/>
          <w:iCs w:val="false"/>
          <w:color w:val="000000"/>
          <w:sz w:val="22"/>
          <w:szCs w:val="22"/>
        </w:rPr>
        <w:t xml:space="preserve">絕對保障</w:t>
      </w: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,不可被「平衡」或「限縮」。</w:t>
      </w:r>
    </w:p>
    <w:p>
      <w:pPr>
        <w:spacing w:after="100" w:before="0" w:line="36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然而,我們之立法院公報量化分析顯示:2009 至 2026 共 16 年期間,§19(言論)與 §26(不歧視)之援引次數合計超過總援引之 </w:t>
      </w:r>
      <w:r>
        <w:rPr>
          <w:rFonts w:ascii="新細明體" w:cs="新細明體" w:eastAsia="新細明體" w:hAnsi="新細明體"/>
          <w:b/>
          <w:bCs/>
          <w:i w:val="false"/>
          <w:iCs w:val="false"/>
          <w:color w:val="B5371F"/>
          <w:sz w:val="22"/>
          <w:szCs w:val="22"/>
        </w:rPr>
        <w:t xml:space="preserve">60%</w:t>
      </w: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;而 §18(思想良心宗教自由)、§22(集會結社)、ICESCR §13-3(父母教育選擇權)三條之援引合計</w:t>
      </w:r>
      <w:r>
        <w:rPr>
          <w:rFonts w:ascii="新細明體" w:cs="新細明體" w:eastAsia="新細明體" w:hAnsi="新細明體"/>
          <w:b/>
          <w:bCs/>
          <w:i w:val="false"/>
          <w:iCs w:val="false"/>
          <w:color w:val="B5371F"/>
          <w:sz w:val="22"/>
          <w:szCs w:val="22"/>
        </w:rPr>
        <w:t xml:space="preserve">不足 5%</w:t>
      </w: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。</w:t>
      </w:r>
    </w:p>
    <w:p>
      <w:pPr>
        <w:spacing w:after="100" w:before="0" w:line="36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這不是民意自然分布,而是</w:t>
      </w:r>
      <w:r>
        <w:rPr>
          <w:rFonts w:ascii="新細明體" w:cs="新細明體" w:eastAsia="新細明體" w:hAnsi="新細明體"/>
          <w:b/>
          <w:bCs/>
          <w:i w:val="false"/>
          <w:iCs w:val="false"/>
          <w:color w:val="000000"/>
          <w:sz w:val="22"/>
          <w:szCs w:val="22"/>
        </w:rPr>
        <w:t xml:space="preserve">制度性之選擇性援引</w:t>
      </w: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。</w:t>
      </w:r>
    </w:p>
    <w:p>
      <w:pPr>
        <w:spacing w:after="240" w:before="0" w:line="36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國際判例支持本盟之主張:Hosanna-Tabor v EEOC (565 U.S. 171, 2012) 確立宗教團體之雇用自治;Eweida v UK (2013) 確立工作場所宗教表達之保障。</w:t>
      </w:r>
    </w:p>
    <w:p>
      <w:pPr>
        <w:pStyle w:val="Heading3"/>
        <w:spacing w:after="100" w:before="0" w:line="320"/>
      </w:pPr>
      <w:r>
        <w:rPr>
          <w:rFonts w:ascii="新細明體" w:cs="新細明體" w:eastAsia="新細明體" w:hAnsi="新細明體"/>
          <w:b/>
          <w:bCs/>
          <w:i w:val="false"/>
          <w:iCs w:val="false"/>
          <w:color w:val="B5371F"/>
          <w:sz w:val="23"/>
          <w:szCs w:val="23"/>
        </w:rPr>
        <w:t xml:space="preserve">【觀察二】ICESCR §13-3 父母教育選擇權(3:00-5:30)— 核心</w:t>
      </w:r>
    </w:p>
    <w:p>
      <w:pPr>
        <w:spacing w:after="100" w:before="0" w:line="36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ICESCR §13-3 明文保障「父母依其信念選擇子女之宗教與道德教育」。General Comment 13 第 28 段進一步將此列為</w:t>
      </w:r>
      <w:r>
        <w:rPr>
          <w:rFonts w:ascii="新細明體" w:cs="新細明體" w:eastAsia="新細明體" w:hAnsi="新細明體"/>
          <w:b/>
          <w:bCs/>
          <w:i w:val="false"/>
          <w:iCs w:val="false"/>
          <w:color w:val="000000"/>
          <w:sz w:val="22"/>
          <w:szCs w:val="22"/>
        </w:rPr>
        <w:t xml:space="preserve">核心權利</w:t>
      </w: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,而非政府行政裁量範圍。</w:t>
      </w:r>
    </w:p>
    <w:p>
      <w:pPr>
        <w:spacing w:after="100" w:before="0" w:line="36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2025 年 6 月 27 日,美國最高法院於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Mahmoud v Taylor (605 U.S.)</w:t>
      </w: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以 6 比 3 多數意見確立:當公立學校課程涉及與父母宗教信念相違之內容時,父母請求子女不參與該課程之 opt-out 為基本權利保障。</w:t>
      </w:r>
    </w:p>
    <w:p>
      <w:pPr>
        <w:spacing w:after="100" w:before="0" w:line="36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對照台灣現況:108 課綱性平教育之實施,缺乏透明之父母 opt-out 機制。教師訓練手冊未充分納入 §18 與 §13-3 之具體操作案例。</w:t>
      </w:r>
    </w:p>
    <w:p>
      <w:pPr>
        <w:pBdr>
          <w:left w:val="single" w:color="B5371F" w:sz="24" w:space="12"/>
        </w:pBdr>
        <w:spacing w:after="240" w:before="0" w:line="360"/>
        <w:ind w:left="360"/>
      </w:pPr>
      <w:r>
        <w:rPr>
          <w:rFonts w:ascii="新細明體" w:cs="新細明體" w:eastAsia="新細明體" w:hAnsi="新細明體"/>
          <w:b/>
          <w:bCs/>
          <w:i w:val="false"/>
          <w:iCs w:val="false"/>
          <w:color w:val="000000"/>
          <w:sz w:val="22"/>
          <w:szCs w:val="22"/>
        </w:rPr>
        <w:t xml:space="preserve">本盟之立場非常明確:</w:t>
      </w:r>
      <w:r>
        <w:rPr>
          <w:rFonts w:ascii="新細明體" w:cs="新細明體" w:eastAsia="新細明體" w:hAnsi="新細明體"/>
          <w:b/>
          <w:bCs/>
          <w:i w:val="false"/>
          <w:iCs w:val="false"/>
          <w:color w:val="B5371F"/>
          <w:sz w:val="22"/>
          <w:szCs w:val="22"/>
        </w:rPr>
        <w:t xml:space="preserve">我們不反對性別平等。我們反對的是,以反歧視之名義取消父母選擇權</w:t>
      </w:r>
      <w:r>
        <w:rPr>
          <w:rFonts w:ascii="新細明體" w:cs="新細明體" w:eastAsia="新細明體" w:hAnsi="新細明體"/>
          <w:b/>
          <w:bCs/>
          <w:i w:val="false"/>
          <w:iCs w:val="false"/>
          <w:color w:val="000000"/>
          <w:sz w:val="22"/>
          <w:szCs w:val="22"/>
        </w:rPr>
        <w:t xml:space="preserve">。這兩件事不是對立,而是兩公約 22 條核心條文之均衡執行。</w:t>
      </w:r>
    </w:p>
    <w:p>
      <w:pPr>
        <w:pStyle w:val="Heading3"/>
        <w:spacing w:after="100" w:before="0" w:line="320"/>
      </w:pPr>
      <w:r>
        <w:rPr>
          <w:rFonts w:ascii="新細明體" w:cs="新細明體" w:eastAsia="新細明體" w:hAnsi="新細明體"/>
          <w:b/>
          <w:bCs/>
          <w:i w:val="false"/>
          <w:iCs w:val="false"/>
          <w:color w:val="B5371F"/>
          <w:sz w:val="23"/>
          <w:szCs w:val="23"/>
        </w:rPr>
        <w:t xml:space="preserve">【觀察三】兒少自殺率與健康權落差(5:30-7:00)</w:t>
      </w:r>
    </w:p>
    <w:p>
      <w:pPr>
        <w:spacing w:after="100" w:before="0" w:line="36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ICESCR §12 健康權之執行,於兒少心理健康面向出現嚴重落差。</w:t>
      </w:r>
    </w:p>
    <w:p>
      <w:pPr>
        <w:spacing w:after="100" w:before="0" w:line="36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衛福部公開資料顯示:15 至 19 歲族群之自殺率,2024 年達</w:t>
      </w:r>
      <w:r>
        <w:rPr>
          <w:rFonts w:ascii="新細明體" w:cs="新細明體" w:eastAsia="新細明體" w:hAnsi="新細明體"/>
          <w:b/>
          <w:bCs/>
          <w:i w:val="false"/>
          <w:iCs w:val="false"/>
          <w:color w:val="B5371F"/>
          <w:sz w:val="22"/>
          <w:szCs w:val="22"/>
        </w:rPr>
        <w:t xml:space="preserve">每 10 萬人 7.0 人</w:t>
      </w: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,高於 OECD 平均 6.5,z 分數達 3.12,屬於統計顯著之 outlier。</w:t>
      </w:r>
    </w:p>
    <w:p>
      <w:pPr>
        <w:spacing w:after="100" w:before="0" w:line="36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學生輔導法施行 12 年(2014-2026),學校輔導員之配置仍未達法定比例。</w:t>
      </w:r>
    </w:p>
    <w:p>
      <w:pPr>
        <w:spacing w:after="240" w:before="0" w:line="36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此議題並非本盟一家之關注。我們建議跨派別 NGO 共同連署,要求結論性意見納入 ICESCR §12 + GC14 + CRC §6 之跨部會整合報告與 KPI。</w:t>
      </w:r>
    </w:p>
    <w:p>
      <w:pPr>
        <w:pStyle w:val="Heading3"/>
        <w:spacing w:after="100" w:before="0" w:line="320"/>
      </w:pPr>
      <w:r>
        <w:rPr>
          <w:rFonts w:ascii="新細明體" w:cs="新細明體" w:eastAsia="新細明體" w:hAnsi="新細明體"/>
          <w:b/>
          <w:bCs/>
          <w:i w:val="false"/>
          <w:iCs w:val="false"/>
          <w:color w:val="B5371F"/>
          <w:sz w:val="23"/>
          <w:szCs w:val="23"/>
        </w:rPr>
        <w:t xml:space="preserve">【收尾建議】(7:00-8:00)</w:t>
      </w:r>
    </w:p>
    <w:p>
      <w:pPr>
        <w:spacing w:after="100" w:before="0" w:line="36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基於以上三點觀察,本盟具體建議審查委員於結論性意見中提請政府:</w:t>
      </w:r>
    </w:p>
    <w:p>
      <w:pPr>
        <w:pStyle w:val="ListParagraph"/>
        <w:numPr>
          <w:ilvl w:val="0"/>
          <w:numId w:val="2"/>
        </w:numPr>
        <w:spacing w:after="80" w:before="0" w:line="360"/>
      </w:pPr>
      <w:r>
        <w:rPr>
          <w:rFonts w:ascii="新細明體" w:cs="新細明體" w:eastAsia="新細明體" w:hAnsi="新細明體"/>
          <w:b/>
          <w:bCs/>
          <w:i w:val="false"/>
          <w:iCs w:val="false"/>
          <w:color w:val="B5371F"/>
          <w:sz w:val="22"/>
          <w:szCs w:val="22"/>
        </w:rPr>
        <w:t xml:space="preserve">第一</w:t>
      </w: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:於性平教育課程中,設立透明之父母 opt-out 機制,參酌 Mahmoud v Taylor 2025 判例。</w:t>
      </w:r>
    </w:p>
    <w:p>
      <w:pPr>
        <w:pStyle w:val="ListParagraph"/>
        <w:numPr>
          <w:ilvl w:val="0"/>
          <w:numId w:val="2"/>
        </w:numPr>
        <w:spacing w:after="80" w:before="0" w:line="360"/>
      </w:pPr>
      <w:r>
        <w:rPr>
          <w:rFonts w:ascii="新細明體" w:cs="新細明體" w:eastAsia="新細明體" w:hAnsi="新細明體"/>
          <w:b/>
          <w:bCs/>
          <w:i w:val="false"/>
          <w:iCs w:val="false"/>
          <w:color w:val="B5371F"/>
          <w:sz w:val="22"/>
          <w:szCs w:val="22"/>
        </w:rPr>
        <w:t xml:space="preserve">第二</w:t>
      </w: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:將 ICCPR §18 + ICESCR §13-3 之具體操作案例,納入教師訓練手冊與 108 課綱外部審查程序。</w:t>
      </w:r>
    </w:p>
    <w:p>
      <w:pPr>
        <w:pStyle w:val="ListParagraph"/>
        <w:numPr>
          <w:ilvl w:val="0"/>
          <w:numId w:val="2"/>
        </w:numPr>
        <w:spacing w:after="200" w:before="0" w:line="360"/>
      </w:pPr>
      <w:r>
        <w:rPr>
          <w:rFonts w:ascii="新細明體" w:cs="新細明體" w:eastAsia="新細明體" w:hAnsi="新細明體"/>
          <w:b/>
          <w:bCs/>
          <w:i w:val="false"/>
          <w:iCs w:val="false"/>
          <w:color w:val="B5371F"/>
          <w:sz w:val="22"/>
          <w:szCs w:val="22"/>
        </w:rPr>
        <w:t xml:space="preserve">第三</w:t>
      </w: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:政府提交立法院之內部條文援引頻率分項統計,作為兩公約均衡執行之客觀指標。</w:t>
      </w:r>
    </w:p>
    <w:p>
      <w:pPr>
        <w:pBdr>
          <w:left w:val="single" w:color="8B6F50" w:sz="24" w:space="12"/>
        </w:pBdr>
        <w:spacing w:after="100" w:before="0" w:line="360"/>
        <w:ind w:left="360"/>
      </w:pPr>
      <w:r>
        <w:rPr>
          <w:rFonts w:ascii="新細明體" w:cs="新細明體" w:eastAsia="新細明體" w:hAnsi="新細明體"/>
          <w:b/>
          <w:bCs/>
          <w:i w:val="false"/>
          <w:iCs w:val="false"/>
          <w:color w:val="000000"/>
          <w:sz w:val="22"/>
          <w:szCs w:val="22"/>
        </w:rPr>
        <w:t xml:space="preserve">本盟最終立場:</w:t>
      </w: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本盟支持兩公約原始普世人權精神。我們承諾雙面 Steelman 之客觀檢驗 — 若資料顯示我方論點站不住腳,平台將公開更正。</w:t>
      </w:r>
    </w:p>
    <w:p>
      <w:pPr>
        <w:spacing w:after="240" w:before="0" w:line="360"/>
      </w:pPr>
      <w:r>
        <w:rPr>
          <w:rFonts w:ascii="新細明體" w:cs="新細明體" w:eastAsia="新細明體" w:hAnsi="新細明體"/>
          <w:b/>
          <w:bCs/>
          <w:i w:val="false"/>
          <w:iCs w:val="false"/>
          <w:color w:val="000000"/>
          <w:sz w:val="22"/>
          <w:szCs w:val="22"/>
        </w:rPr>
        <w:t xml:space="preserve">謝謝各位審查委員。</w:t>
      </w:r>
    </w:p>
    <w:p>
      <w:pPr>
        <w:pStyle w:val="Heading2"/>
        <w:spacing w:after="100" w:before="0" w:line="3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2238"/>
          <w:sz w:val="26"/>
          <w:szCs w:val="26"/>
        </w:rPr>
        <w:t xml:space="preserve">二、English Summary (90 seconds, ~200 words)</w:t>
      </w:r>
    </w:p>
    <w:p>
      <w:pPr>
        <w:spacing w:after="100" w:before="0" w:line="36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Honorable reviewing experts, distinguished participants:</w:t>
      </w:r>
    </w:p>
    <w:p>
      <w:pPr>
        <w:spacing w:after="10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 represent the Alliance for the Advancement of Basic Education (AABE), a coalition advocating balanced human rights enforcement in Taiwan, with particular focus on adolescent mental health, parental educational rights, and religious freedom.</w:t>
      </w:r>
    </w:p>
    <w:p>
      <w:pPr>
        <w:spacing w:after="10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present three observations on Articles 18-25 of ICCPR and Articles 13-15 of ICESCR:</w:t>
      </w:r>
    </w:p>
    <w:p>
      <w:pPr>
        <w:spacing w:after="100" w:before="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First,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equal status between Art.26 and Art.18 has been broken in practice. Quantitative analysis of Taiwan's Legislative Yuan records (2009-2026) shows Art.19 and Art.26 combined account for over 60% of total citations, while Art.18, Art.22, and ICESCR Art.13-3 combined account for less than 5%. We invoke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Hosanna-Tabor v EEOC (2012)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and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Eweida v UK (2013)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as supporting precedents.</w:t>
      </w:r>
    </w:p>
    <w:p>
      <w:pPr>
        <w:spacing w:after="100" w:before="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Second,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ICESCR Art.13-3 on parental educational rights faces an implementation gap. Following the recent U.S. Supreme Court decision in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Mahmoud v Taylor (605 U.S., June 2025, 6-3 majority)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, Taiwan's sex education curriculum lacks a transparent parental opt-out mechanism. Teacher training manuals fail to incorporate concrete cases under Art.18 and Art.13-3.</w:t>
      </w:r>
    </w:p>
    <w:p>
      <w:pPr>
        <w:spacing w:after="100" w:before="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Third,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ICESCR Art.12 right to health shows a severe gap in adolescent mental health. The 15-19 age group's suicide rate reached 7.0 per 100,000 in 2024, exceeding the OECD average of 6.5 (z-score 3.12, statistically significant outlier).</w:t>
      </w:r>
    </w:p>
    <w:p>
      <w:pPr>
        <w:spacing w:after="80" w:before="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Our recommendations to the Concluding Observations: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Transparent opt-out mechanism in sex education, consistent with Mahmoud v Taylor (2025);</w:t>
      </w:r>
    </w:p>
    <w:p>
      <w:pPr>
        <w:pStyle w:val="ListParagraph"/>
        <w:numPr>
          <w:ilvl w:val="0"/>
          <w:numId w:val="2"/>
        </w:numPr>
        <w:spacing w:after="6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Concrete cases under Art.18 and Art.13-3 incorporated into teacher training and 108-curriculum external review;</w:t>
      </w:r>
    </w:p>
    <w:p>
      <w:pPr>
        <w:pStyle w:val="ListParagraph"/>
        <w:numPr>
          <w:ilvl w:val="0"/>
          <w:numId w:val="2"/>
        </w:numPr>
        <w:spacing w:after="200" w:before="0" w:line="3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Disaggregated citation frequency statistics as an objective indicator of balanced enforcement.</w:t>
      </w:r>
    </w:p>
    <w:p>
      <w:pPr>
        <w:spacing w:after="100" w:before="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AABE's final position: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support the original universal human rights spirit of the two Covenants. We commit to Steelman objective verification — should the data show our position untenable, we will publicly correct.</w:t>
      </w:r>
    </w:p>
    <w:p>
      <w:pPr>
        <w:spacing w:after="240" w:before="0" w:line="36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Thank you.</w:t>
      </w:r>
    </w:p>
    <w:p>
      <w:pPr>
        <w:pStyle w:val="Heading2"/>
        <w:spacing w:after="100" w:before="0" w:line="320"/>
      </w:pPr>
      <w:r>
        <w:rPr>
          <w:rFonts w:ascii="新細明體" w:cs="新細明體" w:eastAsia="新細明體" w:hAnsi="新細明體"/>
          <w:b/>
          <w:bCs/>
          <w:i w:val="false"/>
          <w:iCs w:val="false"/>
          <w:color w:val="0E2238"/>
          <w:sz w:val="26"/>
          <w:szCs w:val="26"/>
        </w:rPr>
        <w:t xml:space="preserve">三、計時提示  /  Timing Cues(供發言者)</w:t>
      </w:r>
    </w:p>
    <w:tbl>
      <w:tblPr>
        <w:tblW w:type="dxa" w:w="89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700"/>
        <w:gridCol w:w="5586"/>
      </w:tblGrid>
      <w:tr>
        <w:trPr>
          <w:tblHeader/>
        </w:trP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2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320"/>
              <w:jc w:val="center"/>
            </w:pPr>
            <w:r>
              <w:rPr>
                <w:rFonts w:ascii="新細明體" w:cs="新細明體" w:eastAsia="新細明體" w:hAnsi="新細明體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2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320"/>
              <w:jc w:val="center"/>
            </w:pPr>
            <w:r>
              <w:rPr>
                <w:rFonts w:ascii="新細明體" w:cs="新細明體" w:eastAsia="新細明體" w:hAnsi="新細明體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E22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320"/>
              <w:jc w:val="center"/>
            </w:pPr>
            <w:r>
              <w:rPr>
                <w:rFonts w:ascii="新細明體" w:cs="新細明體" w:eastAsia="新細明體" w:hAnsi="新細明體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段落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320"/>
            </w:pPr>
            <w:r>
              <w:rPr>
                <w:rFonts w:ascii="新細明體" w:cs="新細明體" w:eastAsia="新細明體" w:hAnsi="新細明體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0:00-1:00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320"/>
            </w:pPr>
            <w:r>
              <w:rPr>
                <w:rFonts w:ascii="新細明體" w:cs="新細明體" w:eastAsia="新細明體" w:hAnsi="新細明體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min</w:t>
            </w:r>
          </w:p>
        </w:tc>
        <w:tc>
          <w:tcPr>
            <w:tcW w:type="dxa" w:w="5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320"/>
            </w:pPr>
            <w:r>
              <w:rPr>
                <w:rFonts w:ascii="新細明體" w:cs="新細明體" w:eastAsia="新細明體" w:hAnsi="新細明體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開場(本盟簡介 + 三個關注點)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320"/>
            </w:pPr>
            <w:r>
              <w:rPr>
                <w:rFonts w:ascii="新細明體" w:cs="新細明體" w:eastAsia="新細明體" w:hAnsi="新細明體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1:00-3:00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320"/>
            </w:pPr>
            <w:r>
              <w:rPr>
                <w:rFonts w:ascii="新細明體" w:cs="新細明體" w:eastAsia="新細明體" w:hAnsi="新細明體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 min</w:t>
            </w:r>
          </w:p>
        </w:tc>
        <w:tc>
          <w:tcPr>
            <w:tcW w:type="dxa" w:w="5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320"/>
            </w:pPr>
            <w:r>
              <w:rPr>
                <w:rFonts w:ascii="新細明體" w:cs="新細明體" w:eastAsia="新細明體" w:hAnsi="新細明體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觀察一 §18 + §26 同位階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320"/>
            </w:pPr>
            <w:r>
              <w:rPr>
                <w:rFonts w:ascii="新細明體" w:cs="新細明體" w:eastAsia="新細明體" w:hAnsi="新細明體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3:00-5:30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320"/>
            </w:pPr>
            <w:r>
              <w:rPr>
                <w:rFonts w:ascii="新細明體" w:cs="新細明體" w:eastAsia="新細明體" w:hAnsi="新細明體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2.5 min</w:t>
            </w:r>
          </w:p>
        </w:tc>
        <w:tc>
          <w:tcPr>
            <w:tcW w:type="dxa" w:w="5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E1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320"/>
            </w:pPr>
            <w:r>
              <w:rPr>
                <w:rFonts w:ascii="新細明體" w:cs="新細明體" w:eastAsia="新細明體" w:hAnsi="新細明體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觀察二 §13-3 父母選擇權(核心)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320"/>
            </w:pPr>
            <w:r>
              <w:rPr>
                <w:rFonts w:ascii="新細明體" w:cs="新細明體" w:eastAsia="新細明體" w:hAnsi="新細明體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5:30-7:00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320"/>
            </w:pPr>
            <w:r>
              <w:rPr>
                <w:rFonts w:ascii="新細明體" w:cs="新細明體" w:eastAsia="新細明體" w:hAnsi="新細明體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1.5 min</w:t>
            </w:r>
          </w:p>
        </w:tc>
        <w:tc>
          <w:tcPr>
            <w:tcW w:type="dxa" w:w="5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320"/>
            </w:pPr>
            <w:r>
              <w:rPr>
                <w:rFonts w:ascii="新細明體" w:cs="新細明體" w:eastAsia="新細明體" w:hAnsi="新細明體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觀察三 兒少自殺率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320"/>
            </w:pPr>
            <w:r>
              <w:rPr>
                <w:rFonts w:ascii="新細明體" w:cs="新細明體" w:eastAsia="新細明體" w:hAnsi="新細明體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7:00-8:00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320"/>
            </w:pPr>
            <w:r>
              <w:rPr>
                <w:rFonts w:ascii="新細明體" w:cs="新細明體" w:eastAsia="新細明體" w:hAnsi="新細明體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 min</w:t>
            </w:r>
          </w:p>
        </w:tc>
        <w:tc>
          <w:tcPr>
            <w:tcW w:type="dxa" w:w="5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320"/>
            </w:pPr>
            <w:r>
              <w:rPr>
                <w:rFonts w:ascii="新細明體" w:cs="新細明體" w:eastAsia="新細明體" w:hAnsi="新細明體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三點建議 + 立場聲明</w:t>
            </w:r>
          </w:p>
        </w:tc>
      </w:tr>
      <w:tr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320"/>
            </w:pPr>
            <w:r>
              <w:rPr>
                <w:rFonts w:ascii="新細明體" w:cs="新細明體" w:eastAsia="新細明體" w:hAnsi="新細明體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(buffer)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320"/>
            </w:pPr>
            <w:r>
              <w:rPr>
                <w:rFonts w:ascii="新細明體" w:cs="新細明體" w:eastAsia="新細明體" w:hAnsi="新細明體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0-1 min</w:t>
            </w:r>
          </w:p>
        </w:tc>
        <w:tc>
          <w:tcPr>
            <w:tcW w:type="dxa" w:w="558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0" w:line="320"/>
            </w:pPr>
            <w:r>
              <w:rPr>
                <w:rFonts w:ascii="新細明體" w:cs="新細明體" w:eastAsia="新細明體" w:hAnsi="新細明體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留 1 分鐘給可能延誤</w:t>
            </w:r>
          </w:p>
        </w:tc>
      </w:tr>
    </w:tbl>
    <w:p>
      <w:pPr>
        <w:spacing w:after="160" w:before="0" w:line="32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0" w:line="320"/>
      </w:pPr>
      <w:r>
        <w:rPr>
          <w:rFonts w:ascii="新細明體" w:cs="新細明體" w:eastAsia="新細明體" w:hAnsi="新細明體"/>
          <w:b/>
          <w:bCs/>
          <w:i w:val="false"/>
          <w:iCs w:val="false"/>
          <w:color w:val="0E2238"/>
          <w:sz w:val="26"/>
          <w:szCs w:val="26"/>
        </w:rPr>
        <w:t xml:space="preserve">四、視覺輔助  /  Visual Aids(印 A4 雙面彩色,審查桌每位委員一份)</w:t>
      </w:r>
    </w:p>
    <w:p>
      <w:pPr>
        <w:pStyle w:val="ListParagraph"/>
        <w:numPr>
          <w:ilvl w:val="0"/>
          <w:numId w:val="3"/>
        </w:numPr>
        <w:spacing w:after="60" w:before="0" w:line="32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圖 1:立法院 16 年條文援引頻率柱狀圖(高頻 §19 / §26 vs 低頻 §18 / §22 / §13-3)</w:t>
      </w:r>
    </w:p>
    <w:p>
      <w:pPr>
        <w:pStyle w:val="ListParagraph"/>
        <w:numPr>
          <w:ilvl w:val="0"/>
          <w:numId w:val="3"/>
        </w:numPr>
        <w:spacing w:after="60" w:before="0" w:line="32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圖 2:兒少自殺率 2018-2024 走勢線 + OECD 平均對照(z = 3.12 outlier 標註)</w:t>
      </w:r>
    </w:p>
    <w:p>
      <w:pPr>
        <w:pStyle w:val="ListParagraph"/>
        <w:numPr>
          <w:ilvl w:val="0"/>
          <w:numId w:val="3"/>
        </w:numPr>
        <w:spacing w:after="60" w:before="0" w:line="32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圖 3:Steelman 雙面對等示意(B 派性平推動 vs A 派父母選擇權,中央:透明 opt-out 機制)</w:t>
      </w:r>
    </w:p>
    <w:p>
      <w:pPr>
        <w:spacing w:after="160" w:before="0" w:line="32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0" w:line="320"/>
      </w:pPr>
      <w:r>
        <w:rPr>
          <w:rFonts w:ascii="新細明體" w:cs="新細明體" w:eastAsia="新細明體" w:hAnsi="新細明體"/>
          <w:b/>
          <w:bCs/>
          <w:i w:val="false"/>
          <w:iCs w:val="false"/>
          <w:color w:val="0E2238"/>
          <w:sz w:val="26"/>
          <w:szCs w:val="26"/>
        </w:rPr>
        <w:t xml:space="preserve">五、連署 NGO  /  Co-signing Organizations</w:t>
      </w:r>
    </w:p>
    <w:p>
      <w:pPr>
        <w:pStyle w:val="ListParagraph"/>
        <w:numPr>
          <w:ilvl w:val="0"/>
          <w:numId w:val="3"/>
        </w:numPr>
        <w:spacing w:after="60" w:before="0" w:line="32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國教行動聯盟(AABE)— 主提  /  Lead proposer</w:t>
      </w:r>
    </w:p>
    <w:p>
      <w:pPr>
        <w:pStyle w:val="ListParagraph"/>
        <w:numPr>
          <w:ilvl w:val="0"/>
          <w:numId w:val="3"/>
        </w:numPr>
        <w:spacing w:after="60" w:before="0" w:line="32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待邀請:家長團體聯合會  /  Pending: Parents' Coalitions</w:t>
      </w:r>
    </w:p>
    <w:p>
      <w:pPr>
        <w:pStyle w:val="ListParagraph"/>
        <w:numPr>
          <w:ilvl w:val="0"/>
          <w:numId w:val="3"/>
        </w:numPr>
        <w:spacing w:after="60" w:before="0" w:line="32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待邀請:教會跨宗派聯合  /  Pending: Inter-denominational Faith Communities</w:t>
      </w:r>
    </w:p>
    <w:p>
      <w:pPr>
        <w:pStyle w:val="ListParagraph"/>
        <w:numPr>
          <w:ilvl w:val="0"/>
          <w:numId w:val="3"/>
        </w:numPr>
        <w:spacing w:after="60" w:before="0" w:line="32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待邀請:親職社群代表  /  Pending: Parenting Network Representatives</w:t>
      </w:r>
    </w:p>
    <w:p>
      <w:pPr>
        <w:spacing w:after="120" w:before="0" w:line="32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after="100" w:before="0" w:line="320"/>
      </w:pPr>
      <w:r>
        <w:rPr>
          <w:rFonts w:ascii="新細明體" w:cs="新細明體" w:eastAsia="新細明體" w:hAnsi="新細明體"/>
          <w:b/>
          <w:bCs/>
          <w:i w:val="false"/>
          <w:iCs w:val="false"/>
          <w:color w:val="0E2238"/>
          <w:sz w:val="26"/>
          <w:szCs w:val="26"/>
        </w:rPr>
        <w:t xml:space="preserve">六、平台資源  /  Platform Resources</w:t>
      </w:r>
    </w:p>
    <w:p>
      <w:pPr>
        <w:pStyle w:val="ListParagraph"/>
        <w:numPr>
          <w:ilvl w:val="0"/>
          <w:numId w:val="3"/>
        </w:numPr>
        <w:spacing w:after="60" w:before="0" w:line="32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16 PI 議題卡: https://covenants.aabe.org.tw/issues/</w:t>
      </w:r>
    </w:p>
    <w:p>
      <w:pPr>
        <w:pStyle w:val="ListParagraph"/>
        <w:numPr>
          <w:ilvl w:val="0"/>
          <w:numId w:val="3"/>
        </w:numPr>
        <w:spacing w:after="60" w:before="0" w:line="32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立法院公報援引量化原始資料: https://covenants.aabe.org.tw/api/laws.json</w:t>
      </w:r>
    </w:p>
    <w:p>
      <w:pPr>
        <w:pStyle w:val="ListParagraph"/>
        <w:numPr>
          <w:ilvl w:val="0"/>
          <w:numId w:val="3"/>
        </w:numPr>
        <w:spacing w:after="60" w:before="0" w:line="320"/>
      </w:pPr>
      <w:r>
        <w:rPr>
          <w:rFonts w:ascii="新細明體" w:cs="新細明體" w:eastAsia="新細明體" w:hAnsi="新細明體"/>
          <w:b w:val="false"/>
          <w:bCs w:val="false"/>
          <w:i w:val="false"/>
          <w:iCs w:val="false"/>
          <w:color w:val="000000"/>
          <w:sz w:val="22"/>
          <w:szCs w:val="22"/>
        </w:rPr>
        <w:t xml:space="preserve">行動者目錄(107 位): https://covenants.aabe.org.tw/actors/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00" w:before="0" w:line="320"/>
      <w:jc w:val="center"/>
    </w:pPr>
    <w:r>
      <w:rPr>
        <w:rFonts w:ascii="新細明體" w:cs="新細明體" w:eastAsia="新細明體" w:hAnsi="新細明體"/>
        <w:b w:val="false"/>
        <w:bCs w:val="false"/>
        <w:i w:val="false"/>
        <w:iCs w:val="false"/>
        <w:color w:val="5C5C5C"/>
        <w:sz w:val="18"/>
        <w:szCs w:val="18"/>
      </w:rPr>
      <w:t xml:space="preserve">第 </w:t>
    </w:r>
    <w:r>
      <w:rPr>
        <w:rFonts w:ascii="新細明體" w:cs="新細明體" w:eastAsia="新細明體" w:hAnsi="新細明體"/>
        <w:color w:val="5C5C5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新細明體" w:cs="新細明體" w:eastAsia="新細明體" w:hAnsi="新細明體"/>
        <w:b w:val="false"/>
        <w:bCs w:val="false"/>
        <w:i w:val="false"/>
        <w:iCs w:val="false"/>
        <w:color w:val="5C5C5C"/>
        <w:sz w:val="18"/>
        <w:szCs w:val="18"/>
      </w:rPr>
      <w:t xml:space="preserve"> 頁  ·  </w:t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5C5C5C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color w:val="5C5C5C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5C5C5C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color w:val="5C5C5C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6F50" w:sz="6" w:space="1"/>
      </w:pBdr>
      <w:spacing w:after="100" w:before="0" w:line="320"/>
      <w:jc w:val="right"/>
    </w:pPr>
    <w:r>
      <w:rPr>
        <w:rFonts w:ascii="新細明體" w:cs="新細明體" w:eastAsia="新細明體" w:hAnsi="新細明體"/>
        <w:b/>
        <w:bCs/>
        <w:i w:val="false"/>
        <w:iCs w:val="false"/>
        <w:color w:val="8B6F50"/>
        <w:sz w:val="16"/>
        <w:szCs w:val="16"/>
      </w:rPr>
      <w:t xml:space="preserve">AABE 國教行動聯盟 · </w:t>
    </w:r>
    <w:r>
      <w:rPr>
        <w:rFonts w:ascii="新細明體" w:cs="新細明體" w:eastAsia="新細明體" w:hAnsi="新細明體"/>
        <w:b w:val="false"/>
        <w:bCs w:val="false"/>
        <w:i w:val="false"/>
        <w:iCs w:val="false"/>
        <w:color w:val="5C5C5C"/>
        <w:sz w:val="16"/>
        <w:szCs w:val="16"/>
      </w:rPr>
      <w:t xml:space="preserve">場次⑤ NGO 發言稿  /  Civil Society Session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新細明體" w:cs="新細明體" w:eastAsia="新細明體" w:hAnsi="新細明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新細明體" w:cs="新細明體" w:eastAsia="新細明體" w:hAnsi="新細明體"/>
      <w:b/>
      <w:bCs/>
      <w:color w:val="0E223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新細明體" w:cs="新細明體" w:eastAsia="新細明體" w:hAnsi="新細明體"/>
      <w:b/>
      <w:bCs/>
      <w:color w:val="0E223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新細明體" w:cs="新細明體" w:eastAsia="新細明體" w:hAnsi="新細明體"/>
      <w:b/>
      <w:bCs/>
      <w:color w:val="B5371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2026-05-08T13:53:38.768Z</dcterms:created>
  <dcterms:modified xsi:type="dcterms:W3CDTF">2026-05-08T13:53:38.768Z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