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20"/>
        <w:jc w:val="center"/>
      </w:pPr>
      <w:r>
        <w:rPr>
          <w:rFonts w:ascii="新細明體" w:cs="新細明體" w:eastAsia="新細明體" w:hAnsi="新細明體"/>
          <w:b/>
          <w:bCs/>
          <w:i w:val="false"/>
          <w:iCs w:val="false"/>
          <w:color w:val="0E2238"/>
          <w:sz w:val="32"/>
          <w:szCs w:val="32"/>
        </w:rPr>
        <w:t xml:space="preserve">對中華民國第四次兩公約國家報告之民間意見</w:t>
      </w:r>
    </w:p>
    <w:p>
      <w:pPr>
        <w:spacing w:after="60" w:before="0" w:line="320"/>
        <w:jc w:val="center"/>
      </w:pPr>
      <w:r>
        <w:rPr>
          <w:rFonts w:ascii="Times New Roman" w:cs="Times New Roman" w:eastAsia="Times New Roman" w:hAnsi="Times New Roman"/>
          <w:b/>
          <w:bCs/>
          <w:i w:val="false"/>
          <w:iCs w:val="false"/>
          <w:color w:val="0E2238"/>
          <w:sz w:val="22"/>
          <w:szCs w:val="22"/>
        </w:rPr>
        <w:t xml:space="preserve">Civil Society Submission to the 4th Periodic Review of ICCPR / ICESCR in Taiwan</w:t>
      </w:r>
    </w:p>
    <w:p>
      <w:pPr>
        <w:spacing w:after="60" w:before="0" w:line="320"/>
        <w:jc w:val="center"/>
      </w:pPr>
      <w:r>
        <w:rPr>
          <w:rFonts w:ascii="新細明體" w:cs="新細明體" w:eastAsia="新細明體" w:hAnsi="新細明體"/>
          <w:b w:val="false"/>
          <w:bCs w:val="false"/>
          <w:i/>
          <w:iCs/>
          <w:color w:val="8B6F50"/>
          <w:sz w:val="20"/>
          <w:szCs w:val="20"/>
        </w:rPr>
        <w:t xml:space="preserve">國教行動聯盟  AABE  ·  Alliance for the Advancement of Basic Education</w:t>
      </w:r>
    </w:p>
    <w:p>
      <w:pPr>
        <w:spacing w:after="80" w:before="0" w:line="320"/>
        <w:jc w:val="center"/>
      </w:pPr>
      <w:r>
        <w:rPr>
          <w:rFonts w:ascii="新細明體" w:cs="新細明體" w:eastAsia="新細明體" w:hAnsi="新細明體"/>
          <w:b w:val="false"/>
          <w:bCs w:val="false"/>
          <w:i w:val="false"/>
          <w:iCs w:val="false"/>
          <w:color w:val="5C5C5C"/>
          <w:sz w:val="18"/>
          <w:szCs w:val="18"/>
        </w:rPr>
        <w:t xml:space="preserve">提交日期:中華民國 115 年 5 月</w:t>
      </w:r>
      <w:r>
        <w:rPr>
          <w:rFonts w:ascii="新細明體" w:cs="新細明體" w:eastAsia="新細明體" w:hAnsi="新細明體"/>
          <w:b w:val="false"/>
          <w:bCs w:val="false"/>
          <w:i w:val="false"/>
          <w:iCs w:val="false"/>
          <w:color w:val="5C5C5C"/>
          <w:sz w:val="18"/>
          <w:szCs w:val="18"/>
        </w:rPr>
        <w:t xml:space="preserve">    /    </w:t>
      </w:r>
      <w:r>
        <w:rPr>
          <w:rFonts w:ascii="Times New Roman" w:cs="Times New Roman" w:eastAsia="Times New Roman" w:hAnsi="Times New Roman"/>
          <w:b w:val="false"/>
          <w:bCs w:val="false"/>
          <w:i w:val="false"/>
          <w:iCs w:val="false"/>
          <w:color w:val="5C5C5C"/>
          <w:sz w:val="18"/>
          <w:szCs w:val="18"/>
        </w:rPr>
        <w:t xml:space="preserve">Submitted: May 2026</w:t>
      </w:r>
    </w:p>
    <w:p>
      <w:pPr>
        <w:pBdr>
          <w:bottom w:val="single" w:color="5D3A1A" w:sz="12" w:space="0"/>
        </w:pBdr>
        <w:spacing w:after="240" w:before="0" w:line="320"/>
      </w:pPr>
      <w:r>
        <w:rPr>
          <w:rFonts w:ascii="新細明體" w:cs="新細明體" w:eastAsia="新細明體" w:hAnsi="新細明體"/>
          <w:b w:val="false"/>
          <w:bCs w:val="false"/>
          <w:i w:val="false"/>
          <w:iCs w:val="false"/>
          <w:color w:val="000000"/>
          <w:sz w:val="22"/>
          <w:szCs w:val="22"/>
        </w:rPr>
        <w:t xml:space="preserve"/>
      </w:r>
    </w:p>
    <w:p>
      <w:pPr>
        <w:pBdr>
          <w:bottom w:val="single" w:color="5C1A1B" w:sz="12" w:space="0"/>
        </w:pBdr>
        <w:spacing w:after="240" w:before="0" w:line="320"/>
      </w:pPr>
      <w:r>
        <w:rPr>
          <w:rFonts w:ascii="新細明體" w:cs="新細明體" w:eastAsia="新細明體" w:hAnsi="新細明體"/>
          <w:b w:val="false"/>
          <w:bCs w:val="false"/>
          <w:i w:val="false"/>
          <w:iCs w:val="false"/>
          <w:color w:val="000000"/>
          <w:sz w:val="22"/>
          <w:szCs w:val="22"/>
        </w:rPr>
        <w:t xml:space="preserve"/>
      </w:r>
    </w:p>
    <w:p>
      <w:pPr>
        <w:pStyle w:val="Heading2"/>
        <w:spacing w:after="100" w:before="0" w:line="320"/>
      </w:pPr>
      <w:r>
        <w:rPr>
          <w:rFonts w:ascii="新細明體" w:cs="新細明體" w:eastAsia="新細明體" w:hAnsi="新細明體"/>
          <w:b/>
          <w:bCs/>
          <w:i w:val="false"/>
          <w:iCs w:val="false"/>
          <w:color w:val="0E2238"/>
          <w:sz w:val="26"/>
          <w:szCs w:val="26"/>
        </w:rPr>
        <w:t xml:space="preserve">一、立場聲明  /  Statement of Position</w:t>
      </w:r>
    </w:p>
    <w:p>
      <w:pPr>
        <w:spacing w:after="60" w:before="0" w:line="320"/>
      </w:pPr>
      <w:r>
        <w:rPr>
          <w:rFonts w:ascii="新細明體" w:cs="新細明體" w:eastAsia="新細明體" w:hAnsi="新細明體"/>
          <w:b w:val="false"/>
          <w:bCs w:val="false"/>
          <w:i w:val="false"/>
          <w:iCs w:val="false"/>
          <w:color w:val="000000"/>
          <w:sz w:val="22"/>
          <w:szCs w:val="22"/>
        </w:rPr>
        <w:t xml:space="preserve">本盟為國教行動聯盟(AABE),支持兩公約原始普世人權精神。我們關注 22 條核心條文之均衡執行,反對任何條文之選擇性援引或政黨工具化。本盟承諾雙面 Steelman 之客觀檢驗 — 若資料顯示我方論點站不住腳,平台將公開更正。</w:t>
      </w:r>
    </w:p>
    <w:p>
      <w:pPr>
        <w:spacing w:after="160" w:before="0" w:line="320"/>
      </w:pPr>
      <w:r>
        <w:rPr>
          <w:rFonts w:ascii="Times New Roman" w:cs="Times New Roman" w:eastAsia="Times New Roman" w:hAnsi="Times New Roman"/>
          <w:b w:val="false"/>
          <w:bCs w:val="false"/>
          <w:i w:val="false"/>
          <w:iCs w:val="false"/>
          <w:color w:val="5C5C5C"/>
          <w:sz w:val="22"/>
          <w:szCs w:val="22"/>
        </w:rPr>
        <w:t xml:space="preserve">AABE supports the original universal human rights spirit of the two Covenants. We focus on the balanced enforcement of all 22 core articles, opposing any selective citation or political instrumentalization. We commit to Steelman objective verification — should the data show our position untenable, we will publicly correct.</w:t>
      </w:r>
    </w:p>
    <w:p>
      <w:pPr>
        <w:pStyle w:val="Heading2"/>
        <w:spacing w:after="100" w:before="0" w:line="320"/>
      </w:pPr>
      <w:r>
        <w:rPr>
          <w:rFonts w:ascii="新細明體" w:cs="新細明體" w:eastAsia="新細明體" w:hAnsi="新細明體"/>
          <w:b/>
          <w:bCs/>
          <w:i w:val="false"/>
          <w:iCs w:val="false"/>
          <w:color w:val="0E2238"/>
          <w:sz w:val="26"/>
          <w:szCs w:val="26"/>
        </w:rPr>
        <w:t xml:space="preserve">二、六項關鍵觀察  /  Six Key Observations</w:t>
      </w:r>
    </w:p>
    <w:p>
      <w:pPr>
        <w:pStyle w:val="Heading3"/>
        <w:spacing w:after="100" w:before="0" w:line="320"/>
      </w:pPr>
      <w:r>
        <w:rPr>
          <w:rFonts w:ascii="新細明體" w:cs="新細明體" w:eastAsia="新細明體" w:hAnsi="新細明體"/>
          <w:b/>
          <w:bCs/>
          <w:i w:val="false"/>
          <w:iCs w:val="false"/>
          <w:color w:val="B5371F"/>
          <w:sz w:val="23"/>
          <w:szCs w:val="23"/>
        </w:rPr>
        <w:t xml:space="preserve">1.  條文援引顯著不對稱  /  Asymmetric Citation Pattern</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立法院公報 2009-2026 量化分析顯示:§19(言論)+ §26(不歧視)合計超過總援引 60%;§18(思想良心宗教自由)、§22(集會結社)、ICESCR §13-3(父母教育選擇權)合計不足 5%。</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法源:VCLT §31 條約之有效解釋原則;ICCPR §2(1);UN HRC GC24 §17 條約義務之均衡履行。</w:t>
      </w:r>
    </w:p>
    <w:p>
      <w:pPr>
        <w:pStyle w:val="ListParagraph"/>
        <w:numPr>
          <w:ilvl w:val="0"/>
          <w:numId w:val="2"/>
        </w:numPr>
        <w:spacing w:after="80" w:before="0" w:line="320"/>
      </w:pPr>
      <w:r>
        <w:rPr>
          <w:rFonts w:ascii="新細明體" w:cs="新細明體" w:eastAsia="新細明體" w:hAnsi="新細明體"/>
          <w:b/>
          <w:bCs/>
          <w:i w:val="false"/>
          <w:iCs w:val="false"/>
          <w:color w:val="B5371F"/>
          <w:sz w:val="22"/>
          <w:szCs w:val="22"/>
        </w:rPr>
        <w:t xml:space="preserve">建議:</w:t>
      </w:r>
      <w:r>
        <w:rPr>
          <w:rFonts w:ascii="新細明體" w:cs="新細明體" w:eastAsia="新細明體" w:hAnsi="新細明體"/>
          <w:b/>
          <w:bCs/>
          <w:i w:val="false"/>
          <w:iCs w:val="false"/>
          <w:color w:val="B5371F"/>
          <w:sz w:val="22"/>
          <w:szCs w:val="22"/>
        </w:rPr>
        <w:t xml:space="preserve">結論性意見要求政府提交 22 條條文之內部援引頻率分項統計(類似芬蘭 NAP KPI 機制)。</w:t>
      </w:r>
    </w:p>
    <w:p>
      <w:pPr>
        <w:spacing w:after="200" w:before="0" w:line="320"/>
      </w:pPr>
      <w:r>
        <w:rPr>
          <w:rFonts w:ascii="Times New Roman" w:cs="Times New Roman" w:eastAsia="Times New Roman" w:hAnsi="Times New Roman"/>
          <w:b w:val="false"/>
          <w:bCs w:val="false"/>
          <w:i w:val="false"/>
          <w:iCs w:val="false"/>
          <w:color w:val="5C5C5C"/>
          <w:sz w:val="20"/>
          <w:szCs w:val="20"/>
        </w:rPr>
        <w:t xml:space="preserve">EN: Legislative Yuan citation analysis 2009-2026 shows §19 + §26 exceeding 60% of total citations, while §18, §22, and ICESCR §13-3 combined account for less than 5%. Recommendation: COs should require disaggregated citation frequency data per article.</w:t>
      </w:r>
    </w:p>
    <w:p>
      <w:pPr>
        <w:pStyle w:val="Heading3"/>
        <w:spacing w:after="100" w:before="0" w:line="320"/>
      </w:pPr>
      <w:r>
        <w:rPr>
          <w:rFonts w:ascii="新細明體" w:cs="新細明體" w:eastAsia="新細明體" w:hAnsi="新細明體"/>
          <w:b/>
          <w:bCs/>
          <w:i w:val="false"/>
          <w:iCs w:val="false"/>
          <w:color w:val="B5371F"/>
          <w:sz w:val="23"/>
          <w:szCs w:val="23"/>
        </w:rPr>
        <w:t xml:space="preserve">2.  §26 與 §18 同位階保障被打破  /  Equal Status Undermined</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ICCPR §26(不歧視)與 §18(思想良心宗教自由)為同位階條文,GC22 §11 明示宗教自由之核心(forum internum)不可被「平衡」或「限縮」。</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國際判例:Hosanna-Tabor v EEOC (565 U.S. 171, 2012);Eweida v UK (ECHR 48420/10, 2013);303 Creative LLC v Elenis (600 U.S. 570, 2023)。</w:t>
      </w:r>
    </w:p>
    <w:p>
      <w:pPr>
        <w:pStyle w:val="ListParagraph"/>
        <w:numPr>
          <w:ilvl w:val="0"/>
          <w:numId w:val="2"/>
        </w:numPr>
        <w:spacing w:after="80" w:before="0" w:line="320"/>
      </w:pPr>
      <w:r>
        <w:rPr>
          <w:rFonts w:ascii="新細明體" w:cs="新細明體" w:eastAsia="新細明體" w:hAnsi="新細明體"/>
          <w:b/>
          <w:bCs/>
          <w:i w:val="false"/>
          <w:iCs w:val="false"/>
          <w:color w:val="B5371F"/>
          <w:sz w:val="22"/>
          <w:szCs w:val="22"/>
        </w:rPr>
        <w:t xml:space="preserve">建議:</w:t>
      </w:r>
      <w:r>
        <w:rPr>
          <w:rFonts w:ascii="新細明體" w:cs="新細明體" w:eastAsia="新細明體" w:hAnsi="新細明體"/>
          <w:b/>
          <w:bCs/>
          <w:i w:val="false"/>
          <w:iCs w:val="false"/>
          <w:color w:val="B5371F"/>
          <w:sz w:val="22"/>
          <w:szCs w:val="22"/>
        </w:rPr>
        <w:t xml:space="preserve">結論性意見明確重申 §26 與 §18 之同位階保障,反對以反歧視名義限縮宗教自由核心。</w:t>
      </w:r>
    </w:p>
    <w:p>
      <w:pPr>
        <w:spacing w:after="200" w:before="0" w:line="320"/>
      </w:pPr>
      <w:r>
        <w:rPr>
          <w:rFonts w:ascii="Times New Roman" w:cs="Times New Roman" w:eastAsia="Times New Roman" w:hAnsi="Times New Roman"/>
          <w:b w:val="false"/>
          <w:bCs w:val="false"/>
          <w:i w:val="false"/>
          <w:iCs w:val="false"/>
          <w:color w:val="5C5C5C"/>
          <w:sz w:val="20"/>
          <w:szCs w:val="20"/>
        </w:rPr>
        <w:t xml:space="preserve">EN: Art.26 and Art.18 hold equal hierarchical status. GC22 §11 explicitly states the core (forum internum) of religious freedom cannot be "balanced" or "restricted". Recommendation: COs should explicitly reaffirm equal protection.</w:t>
      </w:r>
    </w:p>
    <w:p>
      <w:pPr>
        <w:pStyle w:val="Heading3"/>
        <w:spacing w:after="100" w:before="0" w:line="320"/>
      </w:pPr>
      <w:r>
        <w:rPr>
          <w:rFonts w:ascii="新細明體" w:cs="新細明體" w:eastAsia="新細明體" w:hAnsi="新細明體"/>
          <w:b/>
          <w:bCs/>
          <w:i w:val="false"/>
          <w:iCs w:val="false"/>
          <w:color w:val="B5371F"/>
          <w:sz w:val="23"/>
          <w:szCs w:val="23"/>
        </w:rPr>
        <w:t xml:space="preserve">3.  ICESCR §13-3 父母教育選擇權之執行落差  /  Parental Rights Gap</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ICESCR §13-3 + GC13 §28 明文保障父母依其信念選擇宗教與道德教育,列為核心權利。</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Mahmoud v Taylor (605 U.S., 2025-06-27, 6-3 多數意見):確立父母依宗教信念請求子女不參與特定課程之 opt-out 為基本權利保障。</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台灣現況:108 課綱性平教育之實施缺乏透明之父母 opt-out 機制。</w:t>
      </w:r>
    </w:p>
    <w:p>
      <w:pPr>
        <w:pStyle w:val="ListParagraph"/>
        <w:numPr>
          <w:ilvl w:val="0"/>
          <w:numId w:val="2"/>
        </w:numPr>
        <w:spacing w:after="80" w:before="0" w:line="320"/>
      </w:pPr>
      <w:r>
        <w:rPr>
          <w:rFonts w:ascii="新細明體" w:cs="新細明體" w:eastAsia="新細明體" w:hAnsi="新細明體"/>
          <w:b/>
          <w:bCs/>
          <w:i w:val="false"/>
          <w:iCs w:val="false"/>
          <w:color w:val="B5371F"/>
          <w:sz w:val="22"/>
          <w:szCs w:val="22"/>
        </w:rPr>
        <w:t xml:space="preserve">建議:</w:t>
      </w:r>
      <w:r>
        <w:rPr>
          <w:rFonts w:ascii="新細明體" w:cs="新細明體" w:eastAsia="新細明體" w:hAnsi="新細明體"/>
          <w:b/>
          <w:bCs/>
          <w:i w:val="false"/>
          <w:iCs w:val="false"/>
          <w:color w:val="B5371F"/>
          <w:sz w:val="22"/>
          <w:szCs w:val="22"/>
        </w:rPr>
        <w:t xml:space="preserve">政府建立透明 opt-out 機制 + 教師訓練手冊納入 §18 + §13-3 案例;並對教科書多元議題並陳審議。</w:t>
      </w:r>
    </w:p>
    <w:p>
      <w:pPr>
        <w:spacing w:after="200" w:before="0" w:line="320"/>
      </w:pPr>
      <w:r>
        <w:rPr>
          <w:rFonts w:ascii="Times New Roman" w:cs="Times New Roman" w:eastAsia="Times New Roman" w:hAnsi="Times New Roman"/>
          <w:b w:val="false"/>
          <w:bCs w:val="false"/>
          <w:i w:val="false"/>
          <w:iCs w:val="false"/>
          <w:color w:val="5C5C5C"/>
          <w:sz w:val="20"/>
          <w:szCs w:val="20"/>
        </w:rPr>
        <w:t xml:space="preserve">EN: Art.13-3 and GC13 §28 guarantee parents' right to choose religious and moral education for their children. Mahmoud v Taylor (605 U.S., 2025-06-27, 6-3 majority) confirms parental opt-out as a fundamental right protection. Recommendation: Establish transparent opt-out mechanism in sex education curriculum.</w:t>
      </w:r>
    </w:p>
    <w:p>
      <w:pPr>
        <w:pStyle w:val="Heading3"/>
        <w:spacing w:after="100" w:before="0" w:line="320"/>
      </w:pPr>
      <w:r>
        <w:rPr>
          <w:rFonts w:ascii="新細明體" w:cs="新細明體" w:eastAsia="新細明體" w:hAnsi="新細明體"/>
          <w:b/>
          <w:bCs/>
          <w:i w:val="false"/>
          <w:iCs w:val="false"/>
          <w:color w:val="B5371F"/>
          <w:sz w:val="23"/>
          <w:szCs w:val="23"/>
        </w:rPr>
        <w:t xml:space="preserve">4.  ICESCR §12 兒少自殺率上升  /  Health Right — Youth Suicide</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衛福部公開資料:15-19 歲族群自殺率 2024 達每十萬人 7.0,高於 OECD 平均 6.5(z = 3.12,統計顯著 outlier)。</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學生輔導法施行 12 年(2014-2026),學校輔導員配置仍未達法定比例。</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法源:ICESCR §12 + GC14(健康權)+ GC13(教育權)+ CRC §6(生命權)。</w:t>
      </w:r>
    </w:p>
    <w:p>
      <w:pPr>
        <w:pStyle w:val="ListParagraph"/>
        <w:numPr>
          <w:ilvl w:val="0"/>
          <w:numId w:val="2"/>
        </w:numPr>
        <w:spacing w:after="80" w:before="0" w:line="320"/>
      </w:pPr>
      <w:r>
        <w:rPr>
          <w:rFonts w:ascii="新細明體" w:cs="新細明體" w:eastAsia="新細明體" w:hAnsi="新細明體"/>
          <w:b/>
          <w:bCs/>
          <w:i w:val="false"/>
          <w:iCs w:val="false"/>
          <w:color w:val="B5371F"/>
          <w:sz w:val="22"/>
          <w:szCs w:val="22"/>
        </w:rPr>
        <w:t xml:space="preserve">建議:</w:t>
      </w:r>
      <w:r>
        <w:rPr>
          <w:rFonts w:ascii="新細明體" w:cs="新細明體" w:eastAsia="新細明體" w:hAnsi="新細明體"/>
          <w:b/>
          <w:bCs/>
          <w:i w:val="false"/>
          <w:iCs w:val="false"/>
          <w:color w:val="B5371F"/>
          <w:sz w:val="22"/>
          <w:szCs w:val="22"/>
        </w:rPr>
        <w:t xml:space="preserve">跨部會整合報告 + 可驗證 KPI + 第三方獨立評估。</w:t>
      </w:r>
    </w:p>
    <w:p>
      <w:pPr>
        <w:spacing w:after="200" w:before="0" w:line="320"/>
      </w:pPr>
      <w:r>
        <w:rPr>
          <w:rFonts w:ascii="Times New Roman" w:cs="Times New Roman" w:eastAsia="Times New Roman" w:hAnsi="Times New Roman"/>
          <w:b w:val="false"/>
          <w:bCs w:val="false"/>
          <w:i w:val="false"/>
          <w:iCs w:val="false"/>
          <w:color w:val="5C5C5C"/>
          <w:sz w:val="20"/>
          <w:szCs w:val="20"/>
        </w:rPr>
        <w:t xml:space="preserve">EN: Adolescent suicide rate (ages 15-19) reached 7.0 per 100,000 in 2024, statistically above OECD average 6.5 (z = 3.12, significant outlier). Student Counseling Act, 12 years post-enactment, still fails to meet legally mandated counselor ratio.</w:t>
      </w:r>
    </w:p>
    <w:p>
      <w:pPr>
        <w:pStyle w:val="Heading3"/>
        <w:spacing w:after="100" w:before="0" w:line="320"/>
      </w:pPr>
      <w:r>
        <w:rPr>
          <w:rFonts w:ascii="新細明體" w:cs="新細明體" w:eastAsia="新細明體" w:hAnsi="新細明體"/>
          <w:b/>
          <w:bCs/>
          <w:i w:val="false"/>
          <w:iCs w:val="false"/>
          <w:color w:val="B5371F"/>
          <w:sz w:val="23"/>
          <w:szCs w:val="23"/>
        </w:rPr>
        <w:t xml:space="preserve">5.  NHRC 獨立性與 GANHRI A 級認證進度  /  NHRC Independence</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監察院國家人權委員會成立 4 年,GANHRI A 級認證仍未到位。</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巴黎原則四大職能(調查、教育、政策建議、申訴)之預算與人員編制是否足夠仍待透明檢驗。</w:t>
      </w:r>
    </w:p>
    <w:p>
      <w:pPr>
        <w:pStyle w:val="ListParagraph"/>
        <w:numPr>
          <w:ilvl w:val="0"/>
          <w:numId w:val="2"/>
        </w:numPr>
        <w:spacing w:after="80" w:before="0" w:line="320"/>
      </w:pPr>
      <w:r>
        <w:rPr>
          <w:rFonts w:ascii="新細明體" w:cs="新細明體" w:eastAsia="新細明體" w:hAnsi="新細明體"/>
          <w:b/>
          <w:bCs/>
          <w:i w:val="false"/>
          <w:iCs w:val="false"/>
          <w:color w:val="B5371F"/>
          <w:sz w:val="22"/>
          <w:szCs w:val="22"/>
        </w:rPr>
        <w:t xml:space="preserve">建議:</w:t>
      </w:r>
      <w:r>
        <w:rPr>
          <w:rFonts w:ascii="新細明體" w:cs="新細明體" w:eastAsia="新細明體" w:hAnsi="新細明體"/>
          <w:b/>
          <w:bCs/>
          <w:i w:val="false"/>
          <w:iCs w:val="false"/>
          <w:color w:val="B5371F"/>
          <w:sz w:val="22"/>
          <w:szCs w:val="22"/>
        </w:rPr>
        <w:t xml:space="preserve">結論性意見要求 GANHRI A 級認證之具體時程,並界定 NHRC 與監察院本部之分工界線。</w:t>
      </w:r>
    </w:p>
    <w:p>
      <w:pPr>
        <w:spacing w:after="200" w:before="0" w:line="320"/>
      </w:pPr>
      <w:r>
        <w:rPr>
          <w:rFonts w:ascii="Times New Roman" w:cs="Times New Roman" w:eastAsia="Times New Roman" w:hAnsi="Times New Roman"/>
          <w:b w:val="false"/>
          <w:bCs w:val="false"/>
          <w:i w:val="false"/>
          <w:iCs w:val="false"/>
          <w:color w:val="5C5C5C"/>
          <w:sz w:val="20"/>
          <w:szCs w:val="20"/>
        </w:rPr>
        <w:t xml:space="preserve">EN: NHRC has been operational for 4 years without GANHRI A-status accreditation. Budget and staff allocation must meet Paris Principles' four functions.</w:t>
      </w:r>
    </w:p>
    <w:p>
      <w:pPr>
        <w:pStyle w:val="Heading3"/>
        <w:spacing w:after="100" w:before="0" w:line="320"/>
      </w:pPr>
      <w:r>
        <w:rPr>
          <w:rFonts w:ascii="新細明體" w:cs="新細明體" w:eastAsia="新細明體" w:hAnsi="新細明體"/>
          <w:b/>
          <w:bCs/>
          <w:i w:val="false"/>
          <w:iCs w:val="false"/>
          <w:color w:val="B5371F"/>
          <w:sz w:val="23"/>
          <w:szCs w:val="23"/>
        </w:rPr>
        <w:t xml:space="preserve">6.  第二期 NAP (2025-2028) 透明度  /  NAP II Transparency</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NAP I (2022-2024) 154 行動之分項執行率自評至今未完整公開,影響 NAP II 設計品質。</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民間 CovenantsWatch 2022 已提出執行率不透明、預算未綁定行動之疑慮。</w:t>
      </w:r>
    </w:p>
    <w:p>
      <w:pPr>
        <w:pStyle w:val="ListParagraph"/>
        <w:numPr>
          <w:ilvl w:val="0"/>
          <w:numId w:val="2"/>
        </w:numPr>
        <w:spacing w:after="80" w:before="0" w:line="320"/>
      </w:pPr>
      <w:r>
        <w:rPr>
          <w:rFonts w:ascii="新細明體" w:cs="新細明體" w:eastAsia="新細明體" w:hAnsi="新細明體"/>
          <w:b/>
          <w:bCs/>
          <w:i w:val="false"/>
          <w:iCs w:val="false"/>
          <w:color w:val="B5371F"/>
          <w:sz w:val="22"/>
          <w:szCs w:val="22"/>
        </w:rPr>
        <w:t xml:space="preserve">建議:</w:t>
      </w:r>
      <w:r>
        <w:rPr>
          <w:rFonts w:ascii="新細明體" w:cs="新細明體" w:eastAsia="新細明體" w:hAnsi="新細明體"/>
          <w:b/>
          <w:bCs/>
          <w:i w:val="false"/>
          <w:iCs w:val="false"/>
          <w:color w:val="B5371F"/>
          <w:sz w:val="22"/>
          <w:szCs w:val="22"/>
        </w:rPr>
        <w:t xml:space="preserve">政府提交 NAP I 分項執行率 + 第三方獨立評估報告;NAP II 須明訂預算與行動項目之綁定機制。</w:t>
      </w:r>
    </w:p>
    <w:p>
      <w:pPr>
        <w:spacing w:after="240" w:before="0" w:line="320"/>
      </w:pPr>
      <w:r>
        <w:rPr>
          <w:rFonts w:ascii="Times New Roman" w:cs="Times New Roman" w:eastAsia="Times New Roman" w:hAnsi="Times New Roman"/>
          <w:b w:val="false"/>
          <w:bCs w:val="false"/>
          <w:i w:val="false"/>
          <w:iCs w:val="false"/>
          <w:color w:val="5C5C5C"/>
          <w:sz w:val="20"/>
          <w:szCs w:val="20"/>
        </w:rPr>
        <w:t xml:space="preserve">EN: NAP I (2022-2024) self-assessment of 154 actions has not been fully published. NAP II planning requires verified completion data with budget-action binding.</w:t>
      </w:r>
    </w:p>
    <w:p>
      <w:pPr>
        <w:pStyle w:val="Heading2"/>
        <w:spacing w:after="100" w:before="0" w:line="320"/>
      </w:pPr>
      <w:r>
        <w:rPr>
          <w:rFonts w:ascii="新細明體" w:cs="新細明體" w:eastAsia="新細明體" w:hAnsi="新細明體"/>
          <w:b/>
          <w:bCs/>
          <w:i w:val="false"/>
          <w:iCs w:val="false"/>
          <w:color w:val="0E2238"/>
          <w:sz w:val="26"/>
          <w:szCs w:val="26"/>
        </w:rPr>
        <w:t xml:space="preserve">三、法源清單  /  References</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公民與政治權利國際公約及經濟社會文化權利國際公約施行法(2009-04-22 公布,2009-12-10 施行)</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VCLT §31 條約之有效解釋原則 / Vienna Convention on the Law of Treaties Art. 31</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UN HRC General Comments: GC18(Non-discrimination)、GC22(Freedom of thought, conscience, religion)、GC24(Treaty obligations)、GC34(Freedom of expression)</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UN ICESCR Committee General Comments: GC13(Right to education)、GC14(Right to health)</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巴黎原則  /  Paris Principles (UN GA Res 48/134, 1993)</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國際判例:Hosanna-Tabor v EEOC (2012);Eweida v UK (2013);303 Creative LLC v Elenis (2023);Mahmoud v Taylor (2025)</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第三方人權指標:RSF World Press Freedom Index 2013-2025;Freedom House 2017-2026</w:t>
      </w:r>
    </w:p>
    <w:p>
      <w:pPr>
        <w:pStyle w:val="Heading2"/>
        <w:spacing w:after="100" w:before="0" w:line="320"/>
      </w:pPr>
      <w:r>
        <w:rPr>
          <w:rFonts w:ascii="新細明體" w:cs="新細明體" w:eastAsia="新細明體" w:hAnsi="新細明體"/>
          <w:b/>
          <w:bCs/>
          <w:i w:val="false"/>
          <w:iCs w:val="false"/>
          <w:color w:val="0E2238"/>
          <w:sz w:val="26"/>
          <w:szCs w:val="26"/>
        </w:rPr>
        <w:t xml:space="preserve">四、平台資源  /  Platform Resources</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16 PI 議題卡 / 16 Policy Issue Cards: https://covenants.aabe.org.tw/issues/</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公開 API(CC BY-SA 4.0): https://covenants.aabe.org.tw/api/</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民間影子報告 v0.2 / Civil Society Shadow Report v0.2: https://covenants.aabe.org.tw/shadow_reports/</w:t>
      </w:r>
    </w:p>
    <w:p>
      <w:pPr>
        <w:pStyle w:val="ListParagraph"/>
        <w:numPr>
          <w:ilvl w:val="0"/>
          <w:numId w:val="2"/>
        </w:numPr>
        <w:spacing w:after="60" w:before="0" w:line="320"/>
      </w:pPr>
      <w:r>
        <w:rPr>
          <w:rFonts w:ascii="新細明體" w:cs="新細明體" w:eastAsia="新細明體" w:hAnsi="新細明體"/>
          <w:b w:val="false"/>
          <w:bCs w:val="false"/>
          <w:i w:val="false"/>
          <w:iCs w:val="false"/>
          <w:color w:val="000000"/>
          <w:sz w:val="22"/>
          <w:szCs w:val="22"/>
        </w:rPr>
        <w:t xml:space="preserve">行動者目錄(107 位 / 11 類型): https://covenants.aabe.org.tw/actors/</w:t>
      </w:r>
    </w:p>
    <w:p>
      <w:pPr>
        <w:pStyle w:val="Heading2"/>
        <w:spacing w:after="100" w:before="0" w:line="320"/>
      </w:pPr>
      <w:r>
        <w:rPr>
          <w:rFonts w:ascii="新細明體" w:cs="新細明體" w:eastAsia="新細明體" w:hAnsi="新細明體"/>
          <w:b/>
          <w:bCs/>
          <w:i w:val="false"/>
          <w:iCs w:val="false"/>
          <w:color w:val="0E2238"/>
          <w:sz w:val="26"/>
          <w:szCs w:val="26"/>
        </w:rPr>
        <w:t xml:space="preserve">五、聯絡  /  Contact</w:t>
      </w:r>
    </w:p>
    <w:p>
      <w:pPr>
        <w:spacing w:after="60" w:before="0" w:line="320"/>
      </w:pPr>
      <w:r>
        <w:rPr>
          <w:rFonts w:ascii="新細明體" w:cs="新細明體" w:eastAsia="新細明體" w:hAnsi="新細明體"/>
          <w:b/>
          <w:bCs/>
          <w:i w:val="false"/>
          <w:iCs w:val="false"/>
          <w:color w:val="000000"/>
          <w:sz w:val="22"/>
          <w:szCs w:val="22"/>
        </w:rPr>
        <w:t xml:space="preserve">國教行動聯盟  Alliance for the Advancement of Basic Education (AABE)</w:t>
      </w:r>
    </w:p>
    <w:p>
      <w:pPr>
        <w:spacing w:after="60" w:before="0" w:line="320"/>
      </w:pPr>
      <w:r>
        <w:rPr>
          <w:rFonts w:ascii="Times New Roman" w:cs="Times New Roman" w:eastAsia="Times New Roman" w:hAnsi="Times New Roman"/>
          <w:b w:val="false"/>
          <w:bCs w:val="false"/>
          <w:i w:val="false"/>
          <w:iCs w:val="false"/>
          <w:color w:val="000000"/>
          <w:sz w:val="22"/>
          <w:szCs w:val="22"/>
        </w:rPr>
        <w:t xml:space="preserve">Email:contact@aabe.org.tw</w:t>
      </w:r>
    </w:p>
    <w:p>
      <w:pPr>
        <w:spacing w:after="60" w:before="0" w:line="320"/>
      </w:pPr>
      <w:r>
        <w:rPr>
          <w:rFonts w:ascii="Times New Roman" w:cs="Times New Roman" w:eastAsia="Times New Roman" w:hAnsi="Times New Roman"/>
          <w:b w:val="false"/>
          <w:bCs w:val="false"/>
          <w:i w:val="false"/>
          <w:iCs w:val="false"/>
          <w:color w:val="000000"/>
          <w:sz w:val="22"/>
          <w:szCs w:val="22"/>
        </w:rPr>
        <w:t xml:space="preserve">Web:https://covenants.aabe.org.tw/</w:t>
      </w:r>
    </w:p>
    <w:p>
      <w:pPr>
        <w:spacing w:after="60" w:before="0" w:line="320"/>
      </w:pPr>
      <w:r>
        <w:rPr>
          <w:rFonts w:ascii="新細明體" w:cs="新細明體" w:eastAsia="新細明體" w:hAnsi="新細明體"/>
          <w:b w:val="false"/>
          <w:bCs w:val="false"/>
          <w:i/>
          <w:iCs/>
          <w:color w:val="5C5C5C"/>
          <w:sz w:val="20"/>
          <w:szCs w:val="20"/>
        </w:rPr>
        <w:t xml:space="preserve">中華民國 115 年 5 月  ·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before="0" w:line="320"/>
      <w:jc w:val="center"/>
    </w:pPr>
    <w:r>
      <w:rPr>
        <w:rFonts w:ascii="新細明體" w:cs="新細明體" w:eastAsia="新細明體" w:hAnsi="新細明體"/>
        <w:b w:val="false"/>
        <w:bCs w:val="false"/>
        <w:i w:val="false"/>
        <w:iCs w:val="false"/>
        <w:color w:val="5C5C5C"/>
        <w:sz w:val="18"/>
        <w:szCs w:val="18"/>
      </w:rPr>
      <w:t xml:space="preserve">第 </w:t>
    </w:r>
    <w:r>
      <w:rPr>
        <w:rFonts w:ascii="新細明體" w:cs="新細明體" w:eastAsia="新細明體" w:hAnsi="新細明體"/>
        <w:color w:val="5C5C5C"/>
        <w:sz w:val="18"/>
        <w:szCs w:val="18"/>
      </w:rPr>
      <w:fldChar w:fldCharType="begin"/>
      <w:instrText xml:space="preserve">PAGE</w:instrText>
      <w:fldChar w:fldCharType="separate"/>
      <w:fldChar w:fldCharType="end"/>
    </w:r>
    <w:r>
      <w:rPr>
        <w:rFonts w:ascii="新細明體" w:cs="新細明體" w:eastAsia="新細明體" w:hAnsi="新細明體"/>
        <w:b w:val="false"/>
        <w:bCs w:val="false"/>
        <w:i w:val="false"/>
        <w:iCs w:val="false"/>
        <w:color w:val="5C5C5C"/>
        <w:sz w:val="18"/>
        <w:szCs w:val="18"/>
      </w:rPr>
      <w:t xml:space="preserve"> 頁  ·  </w:t>
    </w:r>
    <w:r>
      <w:rPr>
        <w:rFonts w:ascii="Times New Roman" w:cs="Times New Roman" w:eastAsia="Times New Roman" w:hAnsi="Times New Roman"/>
        <w:b w:val="false"/>
        <w:bCs w:val="false"/>
        <w:i w:val="false"/>
        <w:iCs w:val="false"/>
        <w:color w:val="5C5C5C"/>
        <w:sz w:val="18"/>
        <w:szCs w:val="18"/>
      </w:rPr>
      <w:t xml:space="preserve">Page </w:t>
    </w:r>
    <w:r>
      <w:rPr>
        <w:rFonts w:ascii="Times New Roman" w:cs="Times New Roman" w:eastAsia="Times New Roman" w:hAnsi="Times New Roman"/>
        <w:color w:val="5C5C5C"/>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5C5C5C"/>
        <w:sz w:val="18"/>
        <w:szCs w:val="18"/>
      </w:rPr>
      <w:t xml:space="preserve"> / </w:t>
    </w:r>
    <w:r>
      <w:rPr>
        <w:rFonts w:ascii="Times New Roman" w:cs="Times New Roman" w:eastAsia="Times New Roman" w:hAnsi="Times New Roman"/>
        <w:color w:val="5C5C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F50" w:sz="6" w:space="1"/>
      </w:pBdr>
      <w:spacing w:after="100" w:before="0" w:line="320"/>
      <w:jc w:val="right"/>
    </w:pPr>
    <w:r>
      <w:rPr>
        <w:rFonts w:ascii="新細明體" w:cs="新細明體" w:eastAsia="新細明體" w:hAnsi="新細明體"/>
        <w:b/>
        <w:bCs/>
        <w:i w:val="false"/>
        <w:iCs w:val="false"/>
        <w:color w:val="8B6F50"/>
        <w:sz w:val="16"/>
        <w:szCs w:val="16"/>
      </w:rPr>
      <w:t xml:space="preserve">AABE 國教行動聯盟 · </w:t>
    </w:r>
    <w:r>
      <w:rPr>
        <w:rFonts w:ascii="新細明體" w:cs="新細明體" w:eastAsia="新細明體" w:hAnsi="新細明體"/>
        <w:b w:val="false"/>
        <w:bCs w:val="false"/>
        <w:i w:val="false"/>
        <w:iCs w:val="false"/>
        <w:color w:val="5C5C5C"/>
        <w:sz w:val="16"/>
        <w:szCs w:val="16"/>
      </w:rPr>
      <w:t xml:space="preserve">第四次兩公約審查書面意見  /  4th Review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新細明體" w:cs="新細明體" w:eastAsia="新細明體" w:hAnsi="新細明體"/>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新細明體" w:cs="新細明體" w:eastAsia="新細明體" w:hAnsi="新細明體"/>
      <w:b/>
      <w:bCs/>
      <w:color w:val="0E2238"/>
      <w:sz w:val="32"/>
      <w:szCs w:val="32"/>
    </w:rPr>
  </w:style>
  <w:style w:type="paragraph" w:styleId="Heading2">
    <w:name w:val="Heading 2"/>
    <w:basedOn w:val="Normal"/>
    <w:next w:val="Normal"/>
    <w:qFormat/>
    <w:pPr>
      <w:spacing w:after="120" w:before="220"/>
      <w:outlineLvl w:val="1"/>
    </w:pPr>
    <w:rPr>
      <w:rFonts w:ascii="新細明體" w:cs="新細明體" w:eastAsia="新細明體" w:hAnsi="新細明體"/>
      <w:b/>
      <w:bCs/>
      <w:color w:val="0E2238"/>
      <w:sz w:val="26"/>
      <w:szCs w:val="26"/>
    </w:rPr>
  </w:style>
  <w:style w:type="paragraph" w:styleId="Heading3">
    <w:name w:val="Heading 3"/>
    <w:basedOn w:val="Normal"/>
    <w:next w:val="Normal"/>
    <w:qFormat/>
    <w:pPr>
      <w:spacing w:after="80" w:before="180"/>
      <w:outlineLvl w:val="2"/>
    </w:pPr>
    <w:rPr>
      <w:rFonts w:ascii="新細明體" w:cs="新細明體" w:eastAsia="新細明體" w:hAnsi="新細明體"/>
      <w:b/>
      <w:bCs/>
      <w:color w:val="B537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2026-05-08T13:53:38.745Z</dcterms:created>
  <dcterms:modified xsi:type="dcterms:W3CDTF">2026-05-08T13:53:38.747Z</dcterms:modified>
</cp:coreProperties>
</file>

<file path=docProps/custom.xml><?xml version="1.0" encoding="utf-8"?>
<Properties xmlns="http://schemas.openxmlformats.org/officeDocument/2006/custom-properties" xmlns:vt="http://schemas.openxmlformats.org/officeDocument/2006/docPropsVTypes"/>
</file>