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Annual Plan</w:t>
      </w:r>
    </w:p>
    <w:p>
      <w:pPr>
        <w:pStyle w:val="BodyText"/>
        <w:bidi w:val="0"/>
        <w:jc w:val="left"/>
        <w:rPr/>
      </w:pPr>
      <w:r>
        <w:rPr/>
        <w:t xml:space="preserve">Intro paragraph with </w:t>
      </w:r>
      <w:r>
        <w:rPr>
          <w:b/>
        </w:rPr>
        <w:t>bold</w:t>
      </w:r>
      <w:r>
        <w:rPr/>
        <w:t xml:space="preserve"> text &amp; an ampersand.</w:t>
      </w:r>
    </w:p>
    <w:p>
      <w:pPr>
        <w:pStyle w:val="Heading2"/>
        <w:bidi w:val="0"/>
        <w:jc w:val="left"/>
        <w:rPr/>
      </w:pPr>
      <w:r>
        <w:rPr/>
        <w:t>Goals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Ship zero-dependency readers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Keep the CLI fast</w:t>
      </w:r>
    </w:p>
    <w:tbl>
      <w:tblPr>
        <w:tblW w:w="187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1030"/>
      </w:tblGrid>
      <w:tr>
        <w:trPr/>
        <w:tc>
          <w:tcPr>
            <w:tcW w:w="8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Region</w:t>
            </w:r>
          </w:p>
        </w:tc>
        <w:tc>
          <w:tcPr>
            <w:tcW w:w="103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Revenue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EMEA</w:t>
            </w:r>
          </w:p>
        </w:tc>
        <w:tc>
          <w:tcPr>
            <w:tcW w:w="10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1200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APAC</w:t>
            </w:r>
          </w:p>
        </w:tc>
        <w:tc>
          <w:tcPr>
            <w:tcW w:w="103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3400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Closing remarks.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