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after="120"/>
      </w:pPr>
      <w:r>
        <w:rPr>
          <w:b/>
          <w:sz w:val="24"/>
          <w:szCs w:val="24"/>
        </w:rPr>
        <w:t xml:space="preserve">A LA AGENCIA ESTATAL DE ADMINISTRACIÓN TRIBUTARIA</w:t>
      </w:r>
    </w:p>
    <w:p>
      <w:pPr>
        <w:jc w:val="center"/>
        <w:spacing w:after="120"/>
      </w:pPr>
      <w:r>
        <w:rPr>
          <w:b/>
          <w:sz w:val="24"/>
          <w:szCs w:val="24"/>
        </w:rPr>
        <w:t xml:space="preserve">DEPENDENCIA REGIONAL DE RECAUDACIÓN — DELEGACIÓN ESPECIAL DE LA COMUNITAT VALENCIANA</w:t>
      </w:r>
    </w:p>
    <w:p>
      <w:pPr>
        <w:jc w:val="center"/>
        <w:spacing w:after="120"/>
      </w:pPr>
      <w:r>
        <w:rPr>
          <w:b/>
          <w:sz w:val="24"/>
          <w:szCs w:val="24"/>
        </w:rPr>
        <w:t xml:space="preserve">Unidad de Gestión Recaudatoria R46173.03 — Moncada (Valencia)</w:t>
      </w:r>
    </w:p>
    <w:p/>
    <w:p>
      <w:pPr>
        <w:jc w:val="both"/>
        <w:spacing w:after="120"/>
      </w:pPr>
      <w:r>
        <w:rPr>
          <w:b/>
        </w:rPr>
        <w:t xml:space="preserve">Expediente nº:</w:t>
      </w:r>
      <w:r>
        <w:t xml:space="preserve"> 462655301895B</w:t>
      </w:r>
    </w:p>
    <w:p>
      <w:pPr>
        <w:jc w:val="both"/>
        <w:spacing w:after="120"/>
      </w:pPr>
      <w:r>
        <w:rPr>
          <w:b/>
        </w:rPr>
        <w:t xml:space="preserve">Documento:</w:t>
      </w:r>
      <w:r>
        <w:t xml:space="preserve"> DER461730010072912</w:t>
      </w:r>
    </w:p>
    <w:p>
      <w:pPr>
        <w:jc w:val="both"/>
        <w:spacing w:after="120"/>
      </w:pPr>
      <w:r>
        <w:rPr>
          <w:b/>
        </w:rPr>
        <w:t xml:space="preserve">Diligencia de embargo:</w:t>
      </w:r>
      <w:r>
        <w:t xml:space="preserve"> 462623568001E</w:t>
      </w:r>
    </w:p>
    <w:p>
      <w:pPr>
        <w:jc w:val="both"/>
        <w:spacing w:after="120"/>
      </w:pPr>
      <w:r>
        <w:rPr>
          <w:b/>
        </w:rPr>
        <w:t xml:space="preserve">Procedimiento:</w:t>
      </w:r>
      <w:r>
        <w:t xml:space="preserve"> Declaración de responsabilidad solidaria — artículo 42.2.b) LGT</w:t>
      </w:r>
    </w:p>
    <w:p>
      <w:pPr>
        <w:jc w:val="both"/>
        <w:spacing w:after="120"/>
      </w:pPr>
      <w:r>
        <w:rPr>
          <w:b/>
        </w:rPr>
        <w:t xml:space="preserve">Deudor principal:</w:t>
      </w:r>
      <w:r>
        <w:t xml:space="preserve"> IFEVAL INVERSIONES SL (NIF B98630270)</w:t>
      </w:r>
    </w:p>
    <w:p>
      <w:pPr>
        <w:jc w:val="both"/>
        <w:spacing w:after="120"/>
      </w:pPr>
      <w:r>
        <w:rPr>
          <w:b/>
        </w:rPr>
        <w:t xml:space="preserve">Presunto responsable:</w:t>
      </w:r>
      <w:r>
        <w:t xml:space="preserve"> NEWZELAND CENTER SL (NIF B98492259)</w:t>
      </w:r>
    </w:p>
    <w:p>
      <w:pPr>
        <w:jc w:val="both"/>
        <w:spacing w:after="120"/>
      </w:pPr>
      <w:r>
        <w:rPr>
          <w:b/>
        </w:rPr>
        <w:t xml:space="preserve">Fecha de notificación del acuerdo:</w:t>
      </w:r>
      <w:r>
        <w:t xml:space="preserve"> 04/06/2026</w:t>
      </w:r>
    </w:p>
    <w:p>
      <w:pPr>
        <w:jc w:val="both"/>
        <w:spacing w:after="120"/>
      </w:pPr>
      <w:r>
        <w:rPr>
          <w:b/>
        </w:rPr>
        <w:t xml:space="preserve">Asunto: ESCRITO DE ALEGACIONES EN TRÁMITE DE AUDIENCIA</w:t>
      </w:r>
    </w:p>
    <w:p/>
    <w:p>
      <w:pPr>
        <w:jc w:val="both"/>
        <w:spacing w:after="120"/>
      </w:pPr>
      <w:r>
        <w:t xml:space="preserve">D. </w:t>
      </w:r>
      <w:r>
        <w:rPr>
          <w:b/>
        </w:rPr>
        <w:t xml:space="preserve">IGNACIO FERRER GUARAS</w:t>
      </w:r>
      <w:r>
        <w:t xml:space="preserve">, mayor de edad, con NIF </w:t>
      </w:r>
      <w:r>
        <w:rPr>
          <w:b/>
        </w:rPr>
        <w:t xml:space="preserve">44790893A</w:t>
      </w:r>
      <w:r>
        <w:t xml:space="preserve">, actuando en nombre y representación de la mercantil </w:t>
      </w:r>
      <w:r>
        <w:rPr>
          <w:b/>
        </w:rPr>
        <w:t xml:space="preserve">NEWZELAND CENTER SL</w:t>
      </w:r>
      <w:r>
        <w:t xml:space="preserve">, con NIF </w:t>
      </w:r>
      <w:r>
        <w:rPr>
          <w:b/>
        </w:rPr>
        <w:t xml:space="preserve">B98492259</w:t>
      </w:r>
      <w:r>
        <w:t xml:space="preserve"> y domicilio en Avda. Camí Los Palos, s/n, 12200 Onda (Castellón), en su condición de </w:t>
      </w:r>
      <w:r>
        <w:rPr>
          <w:b/>
        </w:rPr>
        <w:t xml:space="preserve">apoderado</w:t>
      </w:r>
      <w:r>
        <w:t xml:space="preserve">, representación que acredito mediante el poder que se acompaña, ante esa Dependencia comparezco y, como mejor proceda en Derecho, </w:t>
      </w:r>
      <w:r>
        <w:rPr>
          <w:b/>
        </w:rPr>
        <w:t xml:space="preserve">DIGO</w:t>
      </w:r>
      <w:r>
        <w:t xml:space="preserve">:</w:t>
      </w:r>
    </w:p>
    <w:p/>
    <w:p>
      <w:pPr>
        <w:jc w:val="both"/>
        <w:spacing w:after="120"/>
      </w:pPr>
      <w:r>
        <w:t xml:space="preserve">Que, notificado a esta parte el día </w:t>
      </w:r>
      <w:r>
        <w:rPr>
          <w:b/>
        </w:rPr>
        <w:t xml:space="preserve">4 de junio de 2026</w:t>
      </w:r>
      <w:r>
        <w:t xml:space="preserve"> el Acuerdo de inicio de procedimiento de declaración de responsabilidad solidaria, con propuesta y puesta de manifiesto del expediente, dictado al amparo del </w:t>
      </w:r>
      <w:r>
        <w:rPr>
          <w:b/>
        </w:rPr>
        <w:t xml:space="preserve">artículo 42.2.b) de la Ley 58/2003, de 17 de diciembre, General Tributaria (LGT)</w:t>
      </w:r>
      <w:r>
        <w:t xml:space="preserve">, mediante el presente, dentro del plazo de quince días hábiles conferido en el trámite de audiencia (artículos 41.5, 99 y 174.3 LGT y 124 del Real Decreto 939/2005 —RGR—), formulo </w:t>
      </w:r>
      <w:r>
        <w:rPr>
          <w:b/>
        </w:rPr>
        <w:t xml:space="preserve">ALEGACIONES</w:t>
      </w:r>
      <w:r>
        <w:t xml:space="preserve"> interesando la terminación del procedimiento sin declaración de responsabilidad, con base en los siguientes</w:t>
      </w:r>
    </w:p>
    <w:p/>
    <w:p>
      <w:pPr>
        <w:jc w:val="center"/>
        <w:spacing w:before="200" w:after="120"/>
      </w:pPr>
      <w:r>
        <w:rPr>
          <w:b/>
          <w:sz w:val="24"/>
          <w:szCs w:val="24"/>
        </w:rPr>
        <w:t xml:space="preserve">HECHOS</w:t>
      </w:r>
    </w:p>
    <w:p/>
    <w:p>
      <w:pPr>
        <w:jc w:val="both"/>
        <w:spacing w:after="120"/>
      </w:pPr>
      <w:r>
        <w:rPr>
          <w:b/>
        </w:rPr>
        <w:t xml:space="preserve">PRIMERO.– Objeto del acuerdo impugnado.</w:t>
      </w:r>
      <w:r>
        <w:t xml:space="preserve"> La Administración propone derivar a NEWZELAND CENTER SL una responsabilidad solidaria por importe de </w:t>
      </w:r>
      <w:r>
        <w:rPr>
          <w:b/>
        </w:rPr>
        <w:t xml:space="preserve">8.343,19 €</w:t>
      </w:r>
      <w:r>
        <w:t xml:space="preserve">, al amparo del artículo 42.2.b) LGT, por presunto incumplimiento de la diligencia de embargo de créditos nº 462623568001E, notificada el 09-01-2026, al haber detectado tres transferencias de NEWZELAND a la cuenta de IFEVAL INVERSIONES SL el 20/03/2026 (3.456,34 €, 186,85 € y 4.700,00 €), que califica como pagos al deudor sustraídos a la acción de cobro.</w:t>
      </w:r>
    </w:p>
    <w:p/>
    <w:p>
      <w:pPr>
        <w:jc w:val="both"/>
        <w:spacing w:after="120"/>
      </w:pPr>
      <w:r>
        <w:rPr>
          <w:b/>
        </w:rPr>
        <w:t xml:space="preserve">SEGUNDO.– NEWZELAND CENTER SL no era deudora de IFEVAL INVERSIONES SL.</w:t>
      </w:r>
      <w:r>
        <w:t xml:space="preserve"> Atendida la diligencia de embargo en plazo (19-01-2026), esta parte manifestó que no mantenía crédito pendiente alguno a favor de IFEVAL. A la fecha de la diligencia no existía crédito vencido, líquido y exigible de IFEVAL frente a NEWZELAND; prueba de ello es que, como el propio acuerdo reconoce, no se consignaron importes ni fechas de vencimiento, sencillamente porque no los había.</w:t>
      </w:r>
    </w:p>
    <w:p/>
    <w:p>
      <w:pPr>
        <w:jc w:val="both"/>
        <w:spacing w:after="120"/>
      </w:pPr>
      <w:r>
        <w:rPr>
          <w:b/>
        </w:rPr>
        <w:t xml:space="preserve">TERCERO.– Naturaleza de los fondos.</w:t>
      </w:r>
      <w:r>
        <w:t xml:space="preserve"> Las transferencias controvertidas no respondieron al pago de crédito alguno de IFEVAL frente a NEWZELAND. Los fondos correspondían a una operación comercial que no llegó a consumarse —anulada mediante la oportuna factura de abono— y cuya titularidad correspondía a IFEVAL INVERSIONES SL, a quien NEWZELAND transfirió el importe, según refleja el propio concepto bancario («devolución transferencia»). De ahí que las cantidades se abonaran, precisamente, en la cuenta del propio deudor principal.</w:t>
      </w:r>
    </w:p>
    <w:p/>
    <w:p>
      <w:pPr>
        <w:jc w:val="both"/>
        <w:spacing w:after="120"/>
      </w:pPr>
      <w:r>
        <w:rPr>
          <w:b/>
        </w:rPr>
        <w:t xml:space="preserve">CUARTO.– Los fondos ingresaron en el patrimonio del propio deudor.</w:t>
      </w:r>
      <w:r>
        <w:t xml:space="preserve"> Como reconoce el acuerdo, las cantidades se abonaron en la cuenta de titularidad exclusiva de IFEVAL —la misma examinada por la Administración—, incrementando, que no mermando, su patrimonio embargable. No ha existido detracción de bien o derecho alguno ni perjuicio para la Hacienda Pública.</w:t>
      </w:r>
    </w:p>
    <w:p/>
    <w:p>
      <w:pPr>
        <w:jc w:val="center"/>
        <w:spacing w:before="200" w:after="120"/>
      </w:pPr>
      <w:r>
        <w:rPr>
          <w:b/>
          <w:sz w:val="24"/>
          <w:szCs w:val="24"/>
        </w:rPr>
        <w:t xml:space="preserve">FUNDAMENTOS DE DERECHO</w:t>
      </w:r>
    </w:p>
    <w:p/>
    <w:p>
      <w:pPr>
        <w:jc w:val="both"/>
        <w:spacing w:after="120"/>
      </w:pPr>
      <w:r>
        <w:rPr>
          <w:b/>
        </w:rPr>
        <w:t xml:space="preserve">PRIMERO.– Tempestividad y cauce.</w:t>
      </w:r>
      <w:r>
        <w:t xml:space="preserve"> Se formula en el trámite de audiencia de los artículos 41.5, 99 y 174.3 LGT y 124 RGR, dentro del plazo de quince días hábiles desde la notificación (04-06-2026). El acuerdo de inicio es acto de trámite no susceptible de recurso autónomo (artículo 112 de la Ley 39/2015), por lo que estas alegaciones constituyen el cauce de defensa procedente.</w:t>
      </w:r>
    </w:p>
    <w:p/>
    <w:p>
      <w:pPr>
        <w:jc w:val="both"/>
        <w:spacing w:after="120"/>
      </w:pPr>
      <w:r>
        <w:rPr>
          <w:b/>
        </w:rPr>
        <w:t xml:space="preserve">SEGUNDO.– Naturaleza indemnizatoria —no sancionadora— de la responsabilidad del artículo 42.2 LGT: exige daño, nexo causal y culpa.</w:t>
      </w:r>
      <w:r>
        <w:t xml:space="preserve"> Como la propia Administración reconoce en el acuerdo, con cita de doctrina que esta parte hace expresamente suya, la responsabilidad del artículo 42.2 LGT no es una sanción, sino un mecanismo de garantía de naturaleza indemnizatoria fundado en el artículo 1902 del Código Civil, dirigido a «resarcir a la Hacienda Pública en la cuantía que se corresponda con la acción ilegítima del responsable, que causa un daño mediando culpa o negligencia» (RTEAC de 20/12/2016, RG 4419-2014; de 28/04/2017, RG 2627-2014; y de 15/11/2021, RG 1716-2019; SSTS de 10 y 17 de diciembre de 2020, Sala 3ª, secc. 2ª, rec. 2189/2018 y 6732/2018; SSAN de 15/02/2021, rec. 587/2018, y 11/04/2022, rec. 1277/2020). Esta naturaleza ha sido confirmada por la reciente </w:t>
      </w:r>
      <w:r>
        <w:rPr>
          <w:b/>
        </w:rPr>
        <w:t xml:space="preserve">Sentencia del Tribunal Supremo nº 1578/2025, de 4 de noviembre de 2025</w:t>
      </w:r>
      <w:r>
        <w:t xml:space="preserve">, que reitera que la responsabilidad del artículo 42.2.b) LGT carece de carácter sancionador y cumple una </w:t>
      </w:r>
      <w:r>
        <w:rPr>
          <w:b/>
        </w:rPr>
        <w:t xml:space="preserve">función indemnizatoria o resarcitoria</w:t>
      </w:r>
      <w:r>
        <w:t xml:space="preserve">, respondiendo el declarado responsable </w:t>
      </w:r>
      <w:r>
        <w:rPr>
          <w:b/>
        </w:rPr>
        <w:t xml:space="preserve">únicamente hasta el límite del daño causado, esto es, el valor de los bienes o derechos que se hubieran podido embargar</w:t>
      </w:r>
      <w:r>
        <w:t xml:space="preserve">. </w:t>
      </w:r>
      <w:r>
        <w:rPr>
          <w:b/>
        </w:rPr>
        <w:t xml:space="preserve">Sin daño efectivo y sin nexo causal no cabe declarar responsabilidad alguna.</w:t>
      </w:r>
    </w:p>
    <w:p/>
    <w:p>
      <w:pPr>
        <w:jc w:val="both"/>
        <w:spacing w:after="120"/>
      </w:pPr>
      <w:r>
        <w:rPr>
          <w:b/>
        </w:rPr>
        <w:t xml:space="preserve">TERCERO.– No concurre el presupuesto de hecho del artículo 42.2.b) LGT.</w:t>
      </w:r>
      <w:r>
        <w:t xml:space="preserve"> Conforme a los requisitos que el propio acuerdo enumera (RTEAC de 28/04/2017, RG 2627-2014; STS de 24/02/2012, rec. 6337/2008), fallan los esenciales:</w:t>
      </w:r>
    </w:p>
    <w:p>
      <w:pPr>
        <w:jc w:val="both"/>
        <w:spacing w:after="120"/>
      </w:pPr>
      <w:r>
        <w:rPr>
          <w:b/>
        </w:rPr>
        <w:t xml:space="preserve">3.1.– Inexistencia de crédito embargable.</w:t>
      </w:r>
      <w:r>
        <w:t xml:space="preserve"> El embargo de créditos del artículo 81 RGR presupone, por su propia naturaleza, que su destinatario sea deudor del obligado al pago: solo puede incumplirse la orden de retener e ingresar un crédito que efectivamente exista. Así lo confirma el propio </w:t>
      </w:r>
      <w:r>
        <w:rPr>
          <w:b/>
        </w:rPr>
        <w:t xml:space="preserve">Tribunal Económico-Administrativo Regional de la Comunitat Valenciana (resolución nº 46/4757/2015, de 26 de febrero de 2019)</w:t>
      </w:r>
      <w:r>
        <w:t xml:space="preserve">, al declarar que «cuando no hay constancia de la existencia del crédito, su potestad recaudatoria se agota, pues una cosa es embargar un derecho de crédito existente y otra cosa distinta es declarar la existencia de un derecho de crédito entre terceros ajenos»; criterio plenamente aplicable al presente caso, en el que —a diferencia de otros supuestos en que sí mediaba un crédito real— no existía relación crediticia alguna de IFEVAL frente a NEWZELAND susceptible de traba. NEWZELAND no adeudaba a IFEVAL cantidad alguna a la fecha de la diligencia: inexistente el crédito, el embargo carecía de objeto respecto de esta parte, y mal puede incumplirse la orden de retener e ingresar lo que no existe.</w:t>
      </w:r>
    </w:p>
    <w:p>
      <w:pPr>
        <w:jc w:val="both"/>
        <w:spacing w:after="120"/>
      </w:pPr>
      <w:r>
        <w:rPr>
          <w:b/>
        </w:rPr>
        <w:t xml:space="preserve">3.2.– Las transferencias no fueron el pago de un crédito embargado.</w:t>
      </w:r>
      <w:r>
        <w:t xml:space="preserve"> Los fondos correspondían a una operación no consumada, anulada por abono, cuya titularidad era de IFEVAL, a quien se transfirieron con el concepto «devolución transferencia». No hubo, por tanto, pago de un crédito de IFEVAL frente a NEWZELAND, presupuesto inexcusable del artículo 42.2.b) LGT.</w:t>
      </w:r>
    </w:p>
    <w:p>
      <w:pPr>
        <w:jc w:val="both"/>
        <w:spacing w:after="120"/>
      </w:pPr>
      <w:r>
        <w:rPr>
          <w:b/>
        </w:rPr>
        <w:t xml:space="preserve">3.3.– Inexistencia de incumplimiento, de perjuicio y de nexo causal.</w:t>
      </w:r>
      <w:r>
        <w:t xml:space="preserve"> No se dejó de trabar bien o derecho alguno: los fondos ingresaron en la cuenta del propio deudor principal, plenamente accesible a la AEAT, incrementando su patrimonio embargable en lugar de sustraerlo. Falta así, de modo absoluto, el daño que vertebra esta responsabilidad indemnizatoria (artículo 1902 CC y doctrina citada). Donde no hay menoscabo de la garantía del crédito tributario, no hay nada que resarcir.</w:t>
      </w:r>
    </w:p>
    <w:p/>
    <w:p>
      <w:pPr>
        <w:jc w:val="both"/>
        <w:spacing w:after="120"/>
      </w:pPr>
      <w:r>
        <w:rPr>
          <w:b/>
        </w:rPr>
        <w:t xml:space="preserve">CUARTO.– Subsidiariamente, ausencia de culpa o negligencia (artículo 1104 CC).</w:t>
      </w:r>
      <w:r>
        <w:t xml:space="preserve"> Aun cuando se apreciara algún presupuesto objetivo —que se niega—, no concurriría el elemento subjetivo exigido por la doctrina del TEAC (RTEAC de 28/06/2018, RG 6985-2016; de 23/07/2015, RG 5469-2013) y la STS de 24/02/2012. NEWZELAND atendió la diligencia en plazo y declaró conforme a la verdad que no tenía crédito pendiente con IFEVAL. Ninguna conducta más diligente cabía exigir.</w:t>
      </w:r>
    </w:p>
    <w:p/>
    <w:p>
      <w:pPr>
        <w:jc w:val="both"/>
        <w:spacing w:after="120"/>
      </w:pPr>
      <w:r>
        <w:rPr>
          <w:b/>
        </w:rPr>
        <w:t xml:space="preserve">QUINTO.– Carga de la prueba (artículo 105.1 LGT).</w:t>
      </w:r>
      <w:r>
        <w:t xml:space="preserve"> Incumbe a la Administración acreditar todos los presupuestos de la responsabilidad —en especial, la existencia de un crédito de IFEVAL frente a NEWZELAND, vencido, líquido y exigible, y el perjuicio—. La propuesta descansa en una mera inferencia (toda transferencia al deudor es pago de crédito embargado) que no se corresponde con la realidad.</w:t>
      </w:r>
    </w:p>
    <w:p/>
    <w:p>
      <w:pPr>
        <w:jc w:val="both"/>
        <w:spacing w:after="120"/>
      </w:pPr>
      <w:r>
        <w:rPr>
          <w:b/>
        </w:rPr>
        <w:t xml:space="preserve">SEXTO.– Reservas (artículo 174.5 LGT).</w:t>
      </w:r>
      <w:r>
        <w:t xml:space="preserve"> Sin perjuicio de lo anterior, esta parte se reserva la facultad de oponer la prescripción de la acción de cobro, los defectos de notificación o identificación de los créditos, y la impugnación del alcance global de la responsabilidad.</w:t>
      </w:r>
    </w:p>
    <w:p/>
    <w:p>
      <w:pPr>
        <w:jc w:val="both"/>
        <w:spacing w:after="120"/>
      </w:pPr>
      <w:r>
        <w:rPr>
          <w:b/>
        </w:rPr>
        <w:t xml:space="preserve">SÉPTIMO.– Subsidiariamente, improcedencia del alcance.</w:t>
      </w:r>
      <w:r>
        <w:t xml:space="preserve"> No existiendo detracción patrimonial, el alcance debe fijarse en cero o, subsidiariamente, reducirse descontando cualquier cantidad reintegrada al deudor, con respeto al principio de proporcionalidad y al límite del daño efectivamente causado.</w:t>
      </w:r>
    </w:p>
    <w:p/>
    <w:p>
      <w:pPr>
        <w:jc w:val="both"/>
        <w:spacing w:after="120"/>
      </w:pPr>
      <w:r>
        <w:rPr>
          <w:b/>
        </w:rPr>
        <w:t xml:space="preserve">OCTAVO.– Improcedencia de medidas cautelares.</w:t>
      </w:r>
      <w:r>
        <w:t xml:space="preserve"> No concurren indicios racionales de riesgo recaudatorio imputable a esta parte (artículos 81 y 190.2 LGT).</w:t>
      </w:r>
    </w:p>
    <w:p/>
    <w:p>
      <w:pPr>
        <w:jc w:val="center"/>
        <w:spacing w:before="200" w:after="120"/>
      </w:pPr>
      <w:r>
        <w:rPr>
          <w:b/>
          <w:sz w:val="24"/>
          <w:szCs w:val="24"/>
        </w:rPr>
        <w:t xml:space="preserve">SOLICITO</w:t>
      </w:r>
    </w:p>
    <w:p/>
    <w:p>
      <w:pPr>
        <w:jc w:val="both"/>
        <w:spacing w:after="120"/>
      </w:pPr>
      <w:r>
        <w:t xml:space="preserve">Que tenga por presentado este escrito con sus documentos, por formuladas en plazo las </w:t>
      </w:r>
      <w:r>
        <w:rPr>
          <w:b/>
        </w:rPr>
        <w:t xml:space="preserve">ALEGACIONES</w:t>
      </w:r>
      <w:r>
        <w:t xml:space="preserve"> en el trámite de audiencia del expediente nº 462655301895B y, estimándolas, se sirva:</w:t>
      </w:r>
    </w:p>
    <w:p>
      <w:pPr>
        <w:jc w:val="both"/>
        <w:spacing w:after="120"/>
      </w:pPr>
      <w:r>
        <w:rPr>
          <w:b/>
        </w:rPr>
        <w:t xml:space="preserve">1.º</w:t>
      </w:r>
      <w:r>
        <w:t xml:space="preserve"> Declarar que NEWZELAND CENTER SL no era deudora de IFEVAL INVERSIONES SL y que las transferencias de 20/03/2026 no constituyeron el pago de crédito embargable alguno, habiendo ingresado los fondos en la propia cuenta del deudor principal.</w:t>
      </w:r>
    </w:p>
    <w:p>
      <w:pPr>
        <w:jc w:val="both"/>
        <w:spacing w:after="120"/>
      </w:pPr>
      <w:r>
        <w:rPr>
          <w:b/>
        </w:rPr>
        <w:t xml:space="preserve">2.º</w:t>
      </w:r>
      <w:r>
        <w:t xml:space="preserve"> </w:t>
      </w:r>
      <w:r>
        <w:rPr>
          <w:b/>
        </w:rPr>
        <w:t xml:space="preserve">Acordar la terminación del procedimiento sin declaración de responsabilidad</w:t>
      </w:r>
      <w:r>
        <w:t xml:space="preserve">, por no concurrir los presupuestos del artículo 42.2.b) LGT —inexistencia de crédito embargable, de incumplimiento, de perjuicio a la acción de cobro y de culpa o negligencia—, dejando sin efecto la propuesta de derivación de 8.343,19 €.</w:t>
      </w:r>
    </w:p>
    <w:p>
      <w:pPr>
        <w:jc w:val="both"/>
        <w:spacing w:after="120"/>
      </w:pPr>
      <w:r>
        <w:rPr>
          <w:b/>
        </w:rPr>
        <w:t xml:space="preserve">3.º</w:t>
      </w:r>
      <w:r>
        <w:t xml:space="preserve"> Subsidiariamente, reducir el alcance en los términos del Fundamento Séptimo.</w:t>
      </w:r>
    </w:p>
    <w:p>
      <w:pPr>
        <w:jc w:val="both"/>
        <w:spacing w:after="120"/>
      </w:pPr>
      <w:r>
        <w:rPr>
          <w:b/>
        </w:rPr>
        <w:t xml:space="preserve">4.º</w:t>
      </w:r>
      <w:r>
        <w:t xml:space="preserve"> Que no se adopten medidas cautelares frente a esta parte.</w:t>
      </w:r>
    </w:p>
    <w:p/>
    <w:p>
      <w:pPr>
        <w:jc w:val="both"/>
        <w:spacing w:after="120"/>
      </w:pPr>
      <w:r>
        <w:rPr>
          <w:b/>
        </w:rPr>
        <w:t xml:space="preserve">OTROSÍ DIGO:</w:t>
      </w:r>
      <w:r>
        <w:t xml:space="preserve"> que se tengan por aportados y propuestos como prueba los documentos que se acompañan, interesando su incorporación al expediente, y por hechas las reservas del Fundamento Sexto, quedando esta parte a disposición de la Administración para aportar cuanta documentación complementaria le sea requerida.</w:t>
      </w:r>
    </w:p>
    <w:p/>
    <w:p>
      <w:pPr>
        <w:jc w:val="center"/>
        <w:spacing w:before="200" w:after="120"/>
      </w:pPr>
      <w:r>
        <w:rPr>
          <w:b/>
          <w:sz w:val="24"/>
          <w:szCs w:val="24"/>
        </w:rPr>
        <w:t xml:space="preserve">RELACIÓN DE DOCUMENTOS QUE SE ACOMPAÑAN</w:t>
      </w:r>
    </w:p>
    <w:p>
      <w:pPr>
        <w:jc w:val="both"/>
        <w:spacing w:after="120"/>
      </w:pPr>
      <w:r>
        <w:t xml:space="preserve">Documento nº 1.– Factura de abono ABONO NZ001_26, de 20/03/2026, anulatoria de la operación.</w:t>
      </w:r>
    </w:p>
    <w:p>
      <w:pPr>
        <w:jc w:val="both"/>
        <w:spacing w:after="120"/>
      </w:pPr>
      <w:r>
        <w:t xml:space="preserve">Documento nº 2.– Justificante de transferencia de NEWZELAND a IFEVAL (3.456,34 €), de 20/03/2026.</w:t>
      </w:r>
    </w:p>
    <w:p>
      <w:pPr>
        <w:jc w:val="both"/>
        <w:spacing w:after="120"/>
      </w:pPr>
      <w:r>
        <w:t xml:space="preserve">Documento nº 3.– Justificante de transferencia de NEWZELAND a IFEVAL (186,85 €), de 20/03/2026.</w:t>
      </w:r>
    </w:p>
    <w:p>
      <w:pPr>
        <w:jc w:val="both"/>
        <w:spacing w:after="120"/>
      </w:pPr>
      <w:r>
        <w:t xml:space="preserve">Documento nº 4.– Justificante de transferencia de NEWZELAND a IFEVAL (4.700,00 €), de 20/03/2026.</w:t>
      </w:r>
    </w:p>
    <w:p>
      <w:pPr>
        <w:jc w:val="both"/>
        <w:spacing w:after="120"/>
      </w:pPr>
      <w:r>
        <w:t xml:space="preserve">Documento nº 5.– Factura A002, de 20/03/2026, emitida por IFEVAL INVERSIONES SL, acreditativa de la titularidad de la operación.</w:t>
      </w:r>
    </w:p>
    <w:p>
      <w:pPr>
        <w:jc w:val="both"/>
        <w:spacing w:after="120"/>
      </w:pPr>
      <w:r>
        <w:t xml:space="preserve">Documento nº 6.– Poder de representación a favor del compareciente y DNI del firmante.</w:t>
      </w:r>
    </w:p>
    <w:p/>
    <w:p>
      <w:pPr>
        <w:jc w:val="both"/>
        <w:spacing w:after="120"/>
      </w:pPr>
      <w:r>
        <w:t xml:space="preserve">En Onda, a la fecha de la firma electrónica.</w:t>
      </w:r>
    </w:p>
    <w:p/>
    <w:p>
      <w:pPr>
        <w:jc w:val="both"/>
        <w:spacing w:after="120"/>
      </w:pPr>
      <w:r>
        <w:t xml:space="preserve">Fdo.: Ignacio Ferrer Guaras — Apoderado de NEWZELAND CENTER SL</w:t>
      </w:r>
    </w:p>
    <w:sectPr>
      <w:footerReference w:type="default" r:id="rId2"/>
      <w:pgSz w:w="11906" w:h="16838"/>
      <w:pgMar w:top="1417" w:right="1701" w:bottom="1417" w:left="1701" w:header="708" w:footer="708" w:gutter="0"/>
    </w:sectPr>
  </w:body>
</w:document>
</file>

<file path=word/footer1.xml><?xml version="1.0" encoding="utf-8"?>
<w:ftr xmlns:w="http://schemas.openxmlformats.org/wordprocessingml/2006/main">
  <w:p>
    <w:pPr>
      <w:jc w:val="center"/>
    </w:pPr>
    <w:r>
      <w:rPr>
        <w:sz w:val="18"/>
        <w:szCs w:val="18"/>
      </w:rPr>
      <w:t xml:space="preserve">PÃ¡gina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ftr>
</file>

<file path=word/styles.xml><?xml version="1.0" encoding="utf-8"?>
<w:styles xmlns:w="http://schemas.openxmlformats.org/wordprocessingml/2006/main">
  <w:docDefaults>
    <w:rPrDefault>
      <w:rPr>
        <w:rFonts w:ascii="Times New Roman" w:hAnsi="Times New Roman" w:cs="Times New Roman"/>
        <w:sz w:val="22"/>
        <w:szCs w:val="22"/>
        <w:lang w:val="es-ES"/>
      </w:rPr>
    </w:r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