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 2026</w:t>
      </w:r>
    </w:p>
    <w:p>
      <w:pPr>
        <w:pStyle w:val="Heading1"/>
      </w:pPr>
      <w:r>
        <w:t>1. Purpose</w:t>
      </w:r>
    </w:p>
    <w:p>
      <w:r>
        <w:t>This policy explains how staff of the institution request, approve and record leave, so that teaching and research continue without disruption.</w:t>
      </w:r>
    </w:p>
    <w:p>
      <w:pPr>
        <w:pStyle w:val="Heading1"/>
      </w:pPr>
      <w:r>
        <w:t>2. Annual Leave</w:t>
      </w:r>
    </w:p>
    <w:p>
      <w:r>
        <w:t>Permanent staff earn twenty days of annual leave per calendar year. Requests are submitted to the head of department at least ten working days in advance.</w:t>
      </w:r>
    </w:p>
    <w:p>
      <w:pPr>
        <w:pStyle w:val="Heading1"/>
      </w:pPr>
      <w:r>
        <w:t>3. Sick Leave</w:t>
      </w:r>
    </w:p>
    <w:p>
      <w:r>
        <w:t>Staff may take up to fourteen days of paid sick leave per year. Absences longer than three consecutive days require a medical certificate.</w:t>
      </w:r>
    </w:p>
    <w:p>
      <w:pPr>
        <w:pStyle w:val="Heading1"/>
      </w:pPr>
      <w:r>
        <w:t>4. Approval and Records</w:t>
      </w:r>
    </w:p>
    <w:p>
      <w:r>
        <w:t>The head of department approves or declines each request within five working days, and the registry office keeps the record for seven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