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6D39CE1F" w:rsidR="006F4438" w:rsidRPr="00B90A11" w:rsidRDefault="005872C9">
      <w:pPr>
        <w:pStyle w:val="BodyText"/>
        <w:spacing w:before="51"/>
        <w:ind w:left="2448" w:right="2466"/>
        <w:jc w:val="center"/>
        <w:rPr>
          <w:rFonts w:ascii="Arial" w:hAnsi="Arial" w:cs="Arial"/>
          <w:color w:val="7030A0"/>
          <w:sz w:val="40"/>
          <w:szCs w:val="40"/>
        </w:rPr>
      </w:pPr>
      <w:r w:rsidRPr="00B90A11">
        <w:rPr>
          <w:rFonts w:ascii="Arial" w:hAnsi="Arial" w:cs="Arial"/>
          <w:color w:val="7030A0"/>
          <w:sz w:val="40"/>
          <w:szCs w:val="40"/>
        </w:rPr>
        <w:t xml:space="preserve">Lesson Plan </w:t>
      </w:r>
      <w:r w:rsidR="00FB7977" w:rsidRPr="00B90A11">
        <w:rPr>
          <w:rFonts w:ascii="Arial" w:hAnsi="Arial" w:cs="Arial"/>
          <w:color w:val="7030A0"/>
          <w:sz w:val="40"/>
          <w:szCs w:val="40"/>
        </w:rPr>
        <w:t>2</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2"/>
        <w:gridCol w:w="1146"/>
        <w:gridCol w:w="204"/>
        <w:gridCol w:w="1170"/>
        <w:gridCol w:w="740"/>
      </w:tblGrid>
      <w:tr w:rsidR="006F4438" w14:paraId="0658C8FE" w14:textId="77777777" w:rsidTr="00994670">
        <w:trPr>
          <w:trHeight w:val="638"/>
        </w:trPr>
        <w:tc>
          <w:tcPr>
            <w:tcW w:w="7508" w:type="dxa"/>
            <w:gridSpan w:val="2"/>
          </w:tcPr>
          <w:p w14:paraId="4F69EF58" w14:textId="77777777" w:rsidR="009A1367" w:rsidRPr="009A1367" w:rsidRDefault="005872C9" w:rsidP="00E47DD0">
            <w:pPr>
              <w:shd w:val="clear" w:color="auto" w:fill="FFFFFF"/>
              <w:spacing w:line="276" w:lineRule="auto"/>
              <w:ind w:left="420" w:right="196"/>
              <w:jc w:val="both"/>
              <w:rPr>
                <w:rFonts w:ascii="Arial" w:hAnsi="Arial" w:cs="Arial"/>
                <w:bCs/>
                <w:sz w:val="20"/>
                <w:szCs w:val="20"/>
                <w:lang w:bidi="ar-SA"/>
              </w:rPr>
            </w:pPr>
            <w:r w:rsidRPr="00B90A11">
              <w:rPr>
                <w:rFonts w:ascii="Arial" w:hAnsi="Arial" w:cs="Arial"/>
                <w:b/>
                <w:color w:val="7030A0"/>
                <w:sz w:val="20"/>
                <w:szCs w:val="20"/>
              </w:rPr>
              <w:t>Title</w:t>
            </w:r>
            <w:r w:rsidRPr="00652893">
              <w:rPr>
                <w:rFonts w:ascii="Arial" w:hAnsi="Arial" w:cs="Arial"/>
                <w:sz w:val="20"/>
                <w:szCs w:val="20"/>
              </w:rPr>
              <w:t xml:space="preserve">: </w:t>
            </w:r>
            <w:r w:rsidR="009A1367" w:rsidRPr="009A1367">
              <w:rPr>
                <w:rFonts w:ascii="Arial" w:hAnsi="Arial" w:cs="Arial"/>
                <w:b/>
                <w:bCs/>
                <w:sz w:val="20"/>
                <w:szCs w:val="20"/>
                <w:lang w:bidi="ar-SA"/>
              </w:rPr>
              <w:t xml:space="preserve">Chapter 18: Temperature, heat and the first law of thermodynamics </w:t>
            </w:r>
          </w:p>
          <w:p w14:paraId="56C5EA77" w14:textId="6BA24DCD" w:rsidR="006F4438" w:rsidRPr="006C3BF3" w:rsidRDefault="006F4438" w:rsidP="00E47DD0">
            <w:pPr>
              <w:pStyle w:val="TableParagraph"/>
              <w:spacing w:line="276" w:lineRule="auto"/>
              <w:ind w:left="420" w:right="196"/>
              <w:rPr>
                <w:rFonts w:ascii="Arial" w:hAnsi="Arial" w:cs="Arial"/>
                <w:bCs/>
                <w:sz w:val="20"/>
                <w:szCs w:val="20"/>
              </w:rPr>
            </w:pPr>
          </w:p>
        </w:tc>
        <w:tc>
          <w:tcPr>
            <w:tcW w:w="2114" w:type="dxa"/>
            <w:gridSpan w:val="3"/>
          </w:tcPr>
          <w:p w14:paraId="01C0C7B4" w14:textId="75AF5B76" w:rsidR="006F4438" w:rsidRPr="00652893" w:rsidRDefault="005872C9" w:rsidP="00B90A11">
            <w:pPr>
              <w:pStyle w:val="TableParagraph"/>
              <w:spacing w:line="276" w:lineRule="auto"/>
              <w:ind w:left="110"/>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D76DB3">
              <w:rPr>
                <w:rFonts w:ascii="Arial" w:hAnsi="Arial" w:cs="Arial"/>
                <w:sz w:val="20"/>
                <w:szCs w:val="20"/>
              </w:rPr>
              <w:t>1</w:t>
            </w:r>
            <w:r w:rsidRPr="00652893">
              <w:rPr>
                <w:rFonts w:ascii="Arial" w:hAnsi="Arial" w:cs="Arial"/>
                <w:sz w:val="20"/>
                <w:szCs w:val="20"/>
              </w:rPr>
              <w:t>,</w:t>
            </w:r>
          </w:p>
          <w:p w14:paraId="5BB9EA27" w14:textId="2CCCA09A" w:rsidR="006F4438" w:rsidRPr="00652893" w:rsidRDefault="005872C9" w:rsidP="00B90A11">
            <w:pPr>
              <w:pStyle w:val="TableParagraph"/>
              <w:spacing w:line="276" w:lineRule="auto"/>
              <w:ind w:left="110"/>
              <w:rPr>
                <w:rFonts w:ascii="Arial" w:hAnsi="Arial" w:cs="Arial"/>
                <w:sz w:val="20"/>
                <w:szCs w:val="20"/>
              </w:rPr>
            </w:pPr>
            <w:r w:rsidRPr="00652893">
              <w:rPr>
                <w:rFonts w:ascii="Arial" w:hAnsi="Arial" w:cs="Arial"/>
                <w:sz w:val="20"/>
                <w:szCs w:val="20"/>
              </w:rPr>
              <w:t xml:space="preserve">Day </w:t>
            </w:r>
            <w:r w:rsidR="00FB7977">
              <w:rPr>
                <w:rFonts w:ascii="Arial" w:hAnsi="Arial" w:cs="Arial"/>
                <w:sz w:val="20"/>
                <w:szCs w:val="20"/>
              </w:rPr>
              <w:t>2</w:t>
            </w:r>
          </w:p>
        </w:tc>
      </w:tr>
      <w:tr w:rsidR="006F4438" w14:paraId="121904DA" w14:textId="77777777" w:rsidTr="00994670">
        <w:trPr>
          <w:trHeight w:val="440"/>
        </w:trPr>
        <w:tc>
          <w:tcPr>
            <w:tcW w:w="7508" w:type="dxa"/>
            <w:gridSpan w:val="2"/>
          </w:tcPr>
          <w:p w14:paraId="17237531" w14:textId="34B2595F" w:rsidR="006F4438" w:rsidRPr="00652893" w:rsidRDefault="005872C9" w:rsidP="00E47DD0">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B90A11">
            <w:pPr>
              <w:pStyle w:val="TableParagraph"/>
              <w:spacing w:line="276" w:lineRule="auto"/>
              <w:ind w:left="110"/>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994670">
        <w:trPr>
          <w:trHeight w:val="710"/>
        </w:trPr>
        <w:tc>
          <w:tcPr>
            <w:tcW w:w="9622" w:type="dxa"/>
            <w:gridSpan w:val="5"/>
          </w:tcPr>
          <w:p w14:paraId="64DBCFE6" w14:textId="088449DB" w:rsidR="006F4438" w:rsidRPr="00652893" w:rsidRDefault="005872C9" w:rsidP="00E47DD0">
            <w:pPr>
              <w:shd w:val="clear" w:color="auto" w:fill="FFFFFF"/>
              <w:spacing w:line="276" w:lineRule="auto"/>
              <w:ind w:left="420" w:right="196"/>
              <w:jc w:val="both"/>
              <w:rPr>
                <w:rFonts w:ascii="Arial" w:hAnsi="Arial" w:cs="Arial"/>
                <w:sz w:val="20"/>
                <w:szCs w:val="20"/>
              </w:rPr>
            </w:pPr>
            <w:r w:rsidRPr="00B90A11">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o</w:t>
            </w:r>
            <w:r w:rsidR="006C3BF3">
              <w:rPr>
                <w:rFonts w:ascii="Arial" w:hAnsi="Arial" w:cs="Arial"/>
                <w:sz w:val="20"/>
                <w:szCs w:val="20"/>
              </w:rPr>
              <w:t>f</w:t>
            </w:r>
            <w:r w:rsidR="005D39F1">
              <w:rPr>
                <w:rFonts w:ascii="Arial" w:hAnsi="Arial" w:cs="Arial"/>
                <w:sz w:val="20"/>
                <w:szCs w:val="20"/>
              </w:rPr>
              <w:t xml:space="preserve"> </w:t>
            </w:r>
            <w:r w:rsidR="005D39F1">
              <w:rPr>
                <w:rFonts w:ascii="Arial" w:hAnsi="Arial" w:cs="Arial"/>
                <w:bCs/>
                <w:sz w:val="20"/>
                <w:szCs w:val="20"/>
                <w:lang w:bidi="ar-SA"/>
              </w:rPr>
              <w:t>t</w:t>
            </w:r>
            <w:r w:rsidR="005D39F1" w:rsidRPr="005D39F1">
              <w:rPr>
                <w:rFonts w:ascii="Arial" w:hAnsi="Arial" w:cs="Arial"/>
                <w:bCs/>
                <w:sz w:val="20"/>
                <w:szCs w:val="20"/>
                <w:lang w:bidi="ar-SA"/>
              </w:rPr>
              <w:t>he absorption of heat by solids and liquids (heat of transformation)</w:t>
            </w:r>
          </w:p>
        </w:tc>
      </w:tr>
      <w:tr w:rsidR="006F4438" w14:paraId="4818FF38" w14:textId="77777777" w:rsidTr="00994670">
        <w:trPr>
          <w:trHeight w:val="773"/>
        </w:trPr>
        <w:tc>
          <w:tcPr>
            <w:tcW w:w="9622" w:type="dxa"/>
            <w:gridSpan w:val="5"/>
          </w:tcPr>
          <w:p w14:paraId="11B78293" w14:textId="7A7979DA" w:rsidR="006F4438" w:rsidRPr="00F1282C" w:rsidRDefault="005872C9" w:rsidP="00E47DD0">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E47DD0">
        <w:trPr>
          <w:trHeight w:val="827"/>
        </w:trPr>
        <w:tc>
          <w:tcPr>
            <w:tcW w:w="6362" w:type="dxa"/>
          </w:tcPr>
          <w:p w14:paraId="572C19CE" w14:textId="1501E381" w:rsidR="00F71353" w:rsidRPr="00F71353" w:rsidRDefault="005872C9" w:rsidP="00E47DD0">
            <w:pPr>
              <w:shd w:val="clear" w:color="auto" w:fill="FFFFFF"/>
              <w:spacing w:line="276" w:lineRule="auto"/>
              <w:ind w:left="420" w:right="196"/>
              <w:jc w:val="both"/>
              <w:rPr>
                <w:rFonts w:ascii="Arial" w:hAnsi="Arial" w:cs="Arial"/>
                <w:bCs/>
                <w:sz w:val="20"/>
                <w:szCs w:val="20"/>
                <w:lang w:bidi="ar-SA"/>
              </w:rPr>
            </w:pPr>
            <w:r w:rsidRPr="00B90A11">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5D39F1" w:rsidRPr="005D39F1">
              <w:rPr>
                <w:rFonts w:ascii="Arial" w:hAnsi="Arial" w:cs="Arial"/>
                <w:bCs/>
                <w:sz w:val="20"/>
                <w:szCs w:val="20"/>
                <w:lang w:bidi="ar-SA"/>
              </w:rPr>
              <w:t>18-4: The absorption of heat by solids and liquids (heat of transformation)</w:t>
            </w:r>
          </w:p>
          <w:p w14:paraId="0203DB91" w14:textId="44DB060C" w:rsidR="006F4438" w:rsidRPr="00475585" w:rsidRDefault="006F4438" w:rsidP="00E47DD0">
            <w:pPr>
              <w:pStyle w:val="TableParagraph"/>
              <w:spacing w:line="276" w:lineRule="auto"/>
              <w:ind w:left="420" w:right="196"/>
              <w:rPr>
                <w:rFonts w:ascii="Arial" w:hAnsi="Arial" w:cs="Arial"/>
                <w:bCs/>
                <w:sz w:val="20"/>
                <w:szCs w:val="20"/>
              </w:rPr>
            </w:pPr>
          </w:p>
        </w:tc>
        <w:tc>
          <w:tcPr>
            <w:tcW w:w="1350" w:type="dxa"/>
            <w:gridSpan w:val="2"/>
          </w:tcPr>
          <w:p w14:paraId="690B0371" w14:textId="77777777"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740" w:type="dxa"/>
          </w:tcPr>
          <w:p w14:paraId="19BF53F8" w14:textId="77777777" w:rsidR="006F4438" w:rsidRPr="00652893" w:rsidRDefault="005872C9" w:rsidP="00B90A11">
            <w:pPr>
              <w:pStyle w:val="TableParagraph"/>
              <w:spacing w:line="276" w:lineRule="auto"/>
              <w:ind w:left="108"/>
              <w:rPr>
                <w:rFonts w:ascii="Arial" w:hAnsi="Arial" w:cs="Arial"/>
                <w:sz w:val="20"/>
                <w:szCs w:val="20"/>
              </w:rPr>
            </w:pPr>
            <w:r w:rsidRPr="00652893">
              <w:rPr>
                <w:rFonts w:ascii="Arial" w:hAnsi="Arial" w:cs="Arial"/>
                <w:sz w:val="20"/>
                <w:szCs w:val="20"/>
              </w:rPr>
              <w:t>Time</w:t>
            </w:r>
          </w:p>
        </w:tc>
      </w:tr>
      <w:tr w:rsidR="006F4438" w14:paraId="2E133C5B" w14:textId="77777777" w:rsidTr="00E47DD0">
        <w:trPr>
          <w:trHeight w:val="1931"/>
        </w:trPr>
        <w:tc>
          <w:tcPr>
            <w:tcW w:w="6362" w:type="dxa"/>
          </w:tcPr>
          <w:p w14:paraId="4A89C44F" w14:textId="77777777" w:rsidR="006F4438" w:rsidRPr="00652893" w:rsidRDefault="005872C9" w:rsidP="00E47DD0">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E47DD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E47DD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E47DD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E47DD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E47DD0">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2C756AF1" w14:textId="77777777" w:rsidR="00E47DD0" w:rsidRDefault="005872C9" w:rsidP="00E47DD0">
            <w:pPr>
              <w:pStyle w:val="TableParagraph"/>
              <w:spacing w:line="276" w:lineRule="auto"/>
              <w:ind w:left="60" w:right="196"/>
              <w:rPr>
                <w:rFonts w:ascii="Arial" w:hAnsi="Arial" w:cs="Arial"/>
                <w:sz w:val="20"/>
                <w:szCs w:val="20"/>
              </w:rPr>
            </w:pPr>
            <w:r w:rsidRPr="00652893">
              <w:rPr>
                <w:rFonts w:ascii="Arial" w:hAnsi="Arial" w:cs="Arial"/>
                <w:sz w:val="20"/>
                <w:szCs w:val="20"/>
              </w:rPr>
              <w:t xml:space="preserve">Lecture </w:t>
            </w:r>
          </w:p>
          <w:p w14:paraId="1C0C48EE" w14:textId="64766108" w:rsidR="006F4438" w:rsidRPr="00652893" w:rsidRDefault="005872C9" w:rsidP="00E47DD0">
            <w:pPr>
              <w:pStyle w:val="TableParagraph"/>
              <w:spacing w:line="276" w:lineRule="auto"/>
              <w:ind w:left="60" w:right="196"/>
              <w:rPr>
                <w:rFonts w:ascii="Arial" w:hAnsi="Arial" w:cs="Arial"/>
                <w:sz w:val="20"/>
                <w:szCs w:val="20"/>
              </w:rPr>
            </w:pPr>
            <w:r w:rsidRPr="00652893">
              <w:rPr>
                <w:rFonts w:ascii="Arial" w:hAnsi="Arial" w:cs="Arial"/>
                <w:sz w:val="20"/>
                <w:szCs w:val="20"/>
              </w:rPr>
              <w:t>QA</w:t>
            </w:r>
          </w:p>
        </w:tc>
        <w:tc>
          <w:tcPr>
            <w:tcW w:w="1170" w:type="dxa"/>
          </w:tcPr>
          <w:p w14:paraId="5F8CC0FD" w14:textId="77777777" w:rsidR="00E47DD0"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5995B6A5"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7B70B66C" w14:textId="77777777" w:rsidR="006F4438" w:rsidRPr="00652893" w:rsidRDefault="005872C9" w:rsidP="00B90A11">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16D2CB0E" w14:textId="77777777" w:rsidTr="00E47DD0">
        <w:trPr>
          <w:trHeight w:val="2087"/>
        </w:trPr>
        <w:tc>
          <w:tcPr>
            <w:tcW w:w="6362" w:type="dxa"/>
          </w:tcPr>
          <w:p w14:paraId="32FF30EC" w14:textId="77777777" w:rsidR="006F4438" w:rsidRPr="00652893" w:rsidRDefault="005872C9" w:rsidP="00E47DD0">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Development</w:t>
            </w:r>
            <w:r w:rsidRPr="00652893">
              <w:rPr>
                <w:rFonts w:ascii="Arial" w:hAnsi="Arial" w:cs="Arial"/>
                <w:sz w:val="20"/>
                <w:szCs w:val="20"/>
              </w:rPr>
              <w:t>:</w:t>
            </w:r>
          </w:p>
          <w:p w14:paraId="79F04855" w14:textId="613426EF" w:rsidR="00177A92" w:rsidRPr="00177A92" w:rsidRDefault="00A2523A" w:rsidP="00E47DD0">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r>
              <w:rPr>
                <w:rFonts w:ascii="Arial" w:eastAsiaTheme="minorEastAsia" w:hAnsi="Arial" w:cs="Arial"/>
                <w:sz w:val="20"/>
                <w:szCs w:val="20"/>
                <w:lang w:bidi="ar-SA"/>
              </w:rPr>
              <w:t>1</w:t>
            </w:r>
            <w:r w:rsidR="00177A92">
              <w:rPr>
                <w:rFonts w:ascii="Arial" w:eastAsiaTheme="minorEastAsia" w:hAnsi="Arial" w:cs="Arial"/>
                <w:sz w:val="20"/>
                <w:szCs w:val="20"/>
                <w:lang w:bidi="ar-SA"/>
              </w:rPr>
              <w:t xml:space="preserve">. </w:t>
            </w:r>
            <w:r w:rsidR="00177A92" w:rsidRPr="00177A92">
              <w:rPr>
                <w:rFonts w:ascii="Arial" w:eastAsiaTheme="minorEastAsia" w:hAnsi="Arial" w:cs="Arial"/>
                <w:sz w:val="20"/>
                <w:szCs w:val="20"/>
                <w:lang w:bidi="ar-SA"/>
              </w:rPr>
              <w:t>Explain the heat of transformation, heat of vaporization and heat of fusion.</w:t>
            </w:r>
          </w:p>
          <w:p w14:paraId="1F1BDE20" w14:textId="77777777" w:rsidR="00605022" w:rsidRDefault="00605022" w:rsidP="00E47DD0">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p>
          <w:p w14:paraId="1213CE3B" w14:textId="0626F1EE" w:rsidR="00177A92" w:rsidRPr="00177A92" w:rsidRDefault="00A2523A" w:rsidP="00E47DD0">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r>
              <w:rPr>
                <w:rFonts w:ascii="Arial" w:eastAsiaTheme="minorEastAsia" w:hAnsi="Arial" w:cs="Arial"/>
                <w:sz w:val="20"/>
                <w:szCs w:val="20"/>
                <w:lang w:bidi="ar-SA"/>
              </w:rPr>
              <w:t>2</w:t>
            </w:r>
            <w:r w:rsidR="00177A92">
              <w:rPr>
                <w:rFonts w:ascii="Arial" w:eastAsiaTheme="minorEastAsia" w:hAnsi="Arial" w:cs="Arial"/>
                <w:sz w:val="20"/>
                <w:szCs w:val="20"/>
                <w:lang w:bidi="ar-SA"/>
              </w:rPr>
              <w:t xml:space="preserve">. </w:t>
            </w:r>
            <w:r w:rsidR="00177A92" w:rsidRPr="00177A92">
              <w:rPr>
                <w:rFonts w:ascii="Arial" w:eastAsiaTheme="minorEastAsia" w:hAnsi="Arial" w:cs="Arial"/>
                <w:sz w:val="20"/>
                <w:szCs w:val="20"/>
                <w:lang w:bidi="ar-SA"/>
              </w:rPr>
              <w:t>A gas may exchange energy with its surroundings at constant pressure through work. Find an expression for work done by any gas as it expands or contracts from an initial volume to a final volume.</w:t>
            </w:r>
          </w:p>
          <w:p w14:paraId="044B1737" w14:textId="7B07F4E3" w:rsidR="006F4438" w:rsidRPr="00956FF5" w:rsidRDefault="006F4438" w:rsidP="00E47DD0">
            <w:pPr>
              <w:pStyle w:val="ListParagraph"/>
              <w:shd w:val="clear" w:color="auto" w:fill="FFFFFF"/>
              <w:spacing w:line="276" w:lineRule="auto"/>
              <w:ind w:left="420" w:right="196"/>
              <w:jc w:val="both"/>
              <w:rPr>
                <w:rFonts w:ascii="Arial" w:eastAsiaTheme="minorEastAsia" w:hAnsi="Arial" w:cs="Arial"/>
                <w:sz w:val="20"/>
                <w:szCs w:val="20"/>
                <w:lang w:bidi="ar-SA"/>
              </w:rPr>
            </w:pPr>
          </w:p>
        </w:tc>
        <w:tc>
          <w:tcPr>
            <w:tcW w:w="1350" w:type="dxa"/>
            <w:gridSpan w:val="2"/>
          </w:tcPr>
          <w:p w14:paraId="69B7B466" w14:textId="77777777" w:rsidR="00E47DD0"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 xml:space="preserve">Lecture </w:t>
            </w:r>
          </w:p>
          <w:p w14:paraId="14760D19" w14:textId="77777777" w:rsidR="00E47DD0"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 xml:space="preserve">Discussion </w:t>
            </w:r>
          </w:p>
          <w:p w14:paraId="4FC63D65" w14:textId="4790AE28"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QA</w:t>
            </w:r>
          </w:p>
          <w:p w14:paraId="472FF5FC" w14:textId="77777777" w:rsidR="00E47DD0" w:rsidRDefault="005872C9" w:rsidP="00E47DD0">
            <w:pPr>
              <w:pStyle w:val="TableParagraph"/>
              <w:spacing w:line="276" w:lineRule="auto"/>
              <w:ind w:right="196"/>
              <w:jc w:val="both"/>
              <w:rPr>
                <w:rFonts w:ascii="Arial" w:hAnsi="Arial" w:cs="Arial"/>
                <w:sz w:val="20"/>
                <w:szCs w:val="20"/>
              </w:rPr>
            </w:pPr>
            <w:bookmarkStart w:id="0" w:name="_GoBack"/>
            <w:bookmarkEnd w:id="0"/>
            <w:r w:rsidRPr="00652893">
              <w:rPr>
                <w:rFonts w:ascii="Arial" w:hAnsi="Arial" w:cs="Arial"/>
                <w:sz w:val="20"/>
                <w:szCs w:val="20"/>
              </w:rPr>
              <w:t xml:space="preserve">Problem </w:t>
            </w:r>
          </w:p>
          <w:p w14:paraId="032E302D" w14:textId="0BF16803" w:rsidR="006F4438" w:rsidRPr="00652893" w:rsidRDefault="005872C9" w:rsidP="00E47DD0">
            <w:pPr>
              <w:pStyle w:val="TableParagraph"/>
              <w:spacing w:line="276" w:lineRule="auto"/>
              <w:ind w:right="196"/>
              <w:jc w:val="both"/>
              <w:rPr>
                <w:rFonts w:ascii="Arial" w:hAnsi="Arial" w:cs="Arial"/>
                <w:sz w:val="20"/>
                <w:szCs w:val="20"/>
              </w:rPr>
            </w:pPr>
            <w:r w:rsidRPr="00652893">
              <w:rPr>
                <w:rFonts w:ascii="Arial" w:hAnsi="Arial" w:cs="Arial"/>
                <w:sz w:val="20"/>
                <w:szCs w:val="20"/>
              </w:rPr>
              <w:t>Solving</w:t>
            </w:r>
          </w:p>
        </w:tc>
        <w:tc>
          <w:tcPr>
            <w:tcW w:w="1170" w:type="dxa"/>
          </w:tcPr>
          <w:p w14:paraId="389AC2B6" w14:textId="77777777" w:rsidR="00E47DD0"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35D49D13"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3A4C2922" w14:textId="77777777" w:rsidR="006F4438" w:rsidRPr="00652893" w:rsidRDefault="005872C9" w:rsidP="00B90A11">
            <w:pPr>
              <w:pStyle w:val="TableParagraph"/>
              <w:spacing w:line="276" w:lineRule="auto"/>
              <w:ind w:left="108"/>
              <w:rPr>
                <w:rFonts w:ascii="Arial" w:hAnsi="Arial" w:cs="Arial"/>
                <w:sz w:val="20"/>
                <w:szCs w:val="20"/>
              </w:rPr>
            </w:pPr>
            <w:r w:rsidRPr="00652893">
              <w:rPr>
                <w:rFonts w:ascii="Arial" w:hAnsi="Arial" w:cs="Arial"/>
                <w:sz w:val="20"/>
                <w:szCs w:val="20"/>
              </w:rPr>
              <w:t>60 min</w:t>
            </w:r>
          </w:p>
        </w:tc>
      </w:tr>
      <w:tr w:rsidR="006F4438" w14:paraId="5E9A1A95" w14:textId="77777777" w:rsidTr="00E47DD0">
        <w:trPr>
          <w:trHeight w:val="1682"/>
        </w:trPr>
        <w:tc>
          <w:tcPr>
            <w:tcW w:w="6362" w:type="dxa"/>
          </w:tcPr>
          <w:p w14:paraId="2FC4996D" w14:textId="77777777" w:rsidR="006F4438" w:rsidRPr="00652893" w:rsidRDefault="005872C9" w:rsidP="00E47DD0">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E47DD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E47DD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E47DD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E47DD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E47DD0">
            <w:pPr>
              <w:pStyle w:val="TableParagraph"/>
              <w:spacing w:line="276" w:lineRule="auto"/>
              <w:ind w:left="420" w:right="196"/>
              <w:rPr>
                <w:rFonts w:ascii="Arial" w:hAnsi="Arial" w:cs="Arial"/>
                <w:sz w:val="20"/>
                <w:szCs w:val="20"/>
              </w:rPr>
            </w:pPr>
          </w:p>
        </w:tc>
        <w:tc>
          <w:tcPr>
            <w:tcW w:w="1170" w:type="dxa"/>
          </w:tcPr>
          <w:p w14:paraId="5C43B2E2" w14:textId="77777777" w:rsidR="00E47DD0"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242C8DAC" w:rsidR="006F4438" w:rsidRPr="00652893" w:rsidRDefault="005872C9" w:rsidP="00E47DD0">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027506FF" w14:textId="77777777" w:rsidR="006F4438" w:rsidRPr="00652893" w:rsidRDefault="005872C9" w:rsidP="00B90A11">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7ABA1AE3" w:rsidR="006F4438" w:rsidRDefault="005872C9" w:rsidP="00E47DD0">
            <w:pPr>
              <w:pStyle w:val="TableParagraph"/>
              <w:spacing w:line="276" w:lineRule="auto"/>
              <w:ind w:left="420" w:right="196"/>
              <w:rPr>
                <w:rFonts w:ascii="Arial" w:hAnsi="Arial" w:cs="Arial"/>
                <w:sz w:val="20"/>
                <w:szCs w:val="20"/>
              </w:rPr>
            </w:pPr>
            <w:r w:rsidRPr="00B90A11">
              <w:rPr>
                <w:rFonts w:ascii="Arial" w:hAnsi="Arial" w:cs="Arial"/>
                <w:color w:val="7030A0"/>
                <w:sz w:val="20"/>
                <w:szCs w:val="20"/>
              </w:rPr>
              <w:t>Problems</w:t>
            </w:r>
            <w:r w:rsidR="002E4A39" w:rsidRPr="00652893">
              <w:rPr>
                <w:rFonts w:ascii="Arial" w:hAnsi="Arial" w:cs="Arial"/>
                <w:sz w:val="20"/>
                <w:szCs w:val="20"/>
              </w:rPr>
              <w:t>:</w:t>
            </w:r>
          </w:p>
          <w:p w14:paraId="038CF8D1" w14:textId="77777777" w:rsidR="008528D7" w:rsidRPr="008528D7" w:rsidRDefault="008528D7" w:rsidP="00E47DD0">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r w:rsidRPr="008528D7">
              <w:rPr>
                <w:rFonts w:ascii="Arial" w:eastAsiaTheme="minorEastAsia" w:hAnsi="Arial" w:cs="Arial"/>
                <w:sz w:val="20"/>
                <w:szCs w:val="20"/>
                <w:lang w:bidi="ar-SA"/>
              </w:rPr>
              <w:t xml:space="preserve">27. Calculate the minimum amount of energy, in joules, required to completely melt 130 g of silver initially at 15.0 </w:t>
            </w:r>
            <w:r w:rsidRPr="008528D7">
              <w:rPr>
                <w:rFonts w:ascii="Arial" w:eastAsiaTheme="minorEastAsia" w:hAnsi="Arial" w:cs="Arial"/>
                <w:sz w:val="20"/>
                <w:szCs w:val="20"/>
                <w:vertAlign w:val="superscript"/>
                <w:lang w:bidi="ar-SA"/>
              </w:rPr>
              <w:t>0</w:t>
            </w:r>
            <w:r w:rsidRPr="008528D7">
              <w:rPr>
                <w:rFonts w:ascii="Arial" w:eastAsiaTheme="minorEastAsia" w:hAnsi="Arial" w:cs="Arial"/>
                <w:sz w:val="20"/>
                <w:szCs w:val="20"/>
                <w:lang w:bidi="ar-SA"/>
              </w:rPr>
              <w:t>C.</w:t>
            </w:r>
          </w:p>
          <w:p w14:paraId="2F3A7802" w14:textId="77777777" w:rsidR="00605022" w:rsidRDefault="00605022" w:rsidP="00E47DD0">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p>
          <w:p w14:paraId="654EA4BB" w14:textId="0B2540FA" w:rsidR="008528D7" w:rsidRPr="008528D7" w:rsidRDefault="008528D7" w:rsidP="00E47DD0">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r w:rsidRPr="008528D7">
              <w:rPr>
                <w:rFonts w:ascii="Arial" w:eastAsiaTheme="minorEastAsia" w:hAnsi="Arial" w:cs="Arial"/>
                <w:sz w:val="20"/>
                <w:szCs w:val="20"/>
                <w:lang w:bidi="ar-SA"/>
              </w:rPr>
              <w:t>28. How much water remains unfrozen after 50.2 kJ is transferred as heat from 260 g of liquid water initially at its freezing point?</w:t>
            </w:r>
          </w:p>
          <w:p w14:paraId="3F2268FC" w14:textId="7D4E15B8" w:rsidR="006F4438" w:rsidRPr="00652893" w:rsidRDefault="006F4438" w:rsidP="00E47DD0">
            <w:pPr>
              <w:widowControl/>
              <w:shd w:val="clear" w:color="auto" w:fill="FFFFFF"/>
              <w:autoSpaceDE/>
              <w:autoSpaceDN/>
              <w:spacing w:line="276" w:lineRule="auto"/>
              <w:ind w:left="420" w:right="196"/>
              <w:jc w:val="both"/>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A04F7"/>
    <w:rsid w:val="00177A92"/>
    <w:rsid w:val="001822A7"/>
    <w:rsid w:val="002E4A39"/>
    <w:rsid w:val="00310966"/>
    <w:rsid w:val="00375922"/>
    <w:rsid w:val="0041513E"/>
    <w:rsid w:val="00430198"/>
    <w:rsid w:val="00475585"/>
    <w:rsid w:val="004B17A8"/>
    <w:rsid w:val="005872C9"/>
    <w:rsid w:val="005D2FB6"/>
    <w:rsid w:val="005D39F1"/>
    <w:rsid w:val="005F7373"/>
    <w:rsid w:val="00605022"/>
    <w:rsid w:val="00652893"/>
    <w:rsid w:val="006C2C4D"/>
    <w:rsid w:val="006C3BF3"/>
    <w:rsid w:val="006F4438"/>
    <w:rsid w:val="007F2DCC"/>
    <w:rsid w:val="008528D7"/>
    <w:rsid w:val="009471A9"/>
    <w:rsid w:val="00956FF5"/>
    <w:rsid w:val="0098057E"/>
    <w:rsid w:val="00994670"/>
    <w:rsid w:val="009A1367"/>
    <w:rsid w:val="009C2E3C"/>
    <w:rsid w:val="009E4DE4"/>
    <w:rsid w:val="00A2523A"/>
    <w:rsid w:val="00A57D36"/>
    <w:rsid w:val="00A94C86"/>
    <w:rsid w:val="00B42C5F"/>
    <w:rsid w:val="00B90A11"/>
    <w:rsid w:val="00C93C0C"/>
    <w:rsid w:val="00D76DB3"/>
    <w:rsid w:val="00E34E56"/>
    <w:rsid w:val="00E47DD0"/>
    <w:rsid w:val="00F1282C"/>
    <w:rsid w:val="00F154FB"/>
    <w:rsid w:val="00F71353"/>
    <w:rsid w:val="00FB7977"/>
    <w:rsid w:val="00FB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0" ma:contentTypeDescription="Create a new document." ma:contentTypeScope="" ma:versionID="7fdef8086d2924fbb0f10881c395cd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7AD1C-F0F8-4888-A761-C95DDB09E15F}"/>
</file>

<file path=customXml/itemProps2.xml><?xml version="1.0" encoding="utf-8"?>
<ds:datastoreItem xmlns:ds="http://schemas.openxmlformats.org/officeDocument/2006/customXml" ds:itemID="{0285EC59-1030-4B83-890C-4815B45E5B9B}"/>
</file>

<file path=customXml/itemProps3.xml><?xml version="1.0" encoding="utf-8"?>
<ds:datastoreItem xmlns:ds="http://schemas.openxmlformats.org/officeDocument/2006/customXml" ds:itemID="{0B0DA683-885D-4898-8E27-D1079D6B101D}"/>
</file>

<file path=docProps/app.xml><?xml version="1.0" encoding="utf-8"?>
<Properties xmlns="http://schemas.openxmlformats.org/officeDocument/2006/extended-properties" xmlns:vt="http://schemas.openxmlformats.org/officeDocument/2006/docPropsVTypes">
  <Template>Normal</Template>
  <TotalTime>79</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62</cp:revision>
  <dcterms:created xsi:type="dcterms:W3CDTF">2020-01-28T03:53:00Z</dcterms:created>
  <dcterms:modified xsi:type="dcterms:W3CDTF">2020-05-06T07:34:00Z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