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F870" w14:textId="7B96C2AD" w:rsidR="006F4438" w:rsidRPr="001539FC" w:rsidRDefault="005872C9">
      <w:pPr>
        <w:pStyle w:val="BodyText"/>
        <w:spacing w:before="51"/>
        <w:ind w:left="2448" w:right="2466"/>
        <w:jc w:val="center"/>
        <w:rPr>
          <w:rFonts w:ascii="Arial" w:hAnsi="Arial" w:cs="Arial"/>
          <w:color w:val="7030A0"/>
          <w:sz w:val="40"/>
          <w:szCs w:val="40"/>
        </w:rPr>
      </w:pPr>
      <w:r w:rsidRPr="001539FC">
        <w:rPr>
          <w:rFonts w:ascii="Arial" w:hAnsi="Arial" w:cs="Arial"/>
          <w:color w:val="7030A0"/>
          <w:sz w:val="40"/>
          <w:szCs w:val="40"/>
        </w:rPr>
        <w:t xml:space="preserve">Lesson Plan </w:t>
      </w:r>
      <w:r w:rsidR="000475EE" w:rsidRPr="001539FC">
        <w:rPr>
          <w:rFonts w:ascii="Arial" w:hAnsi="Arial" w:cs="Arial"/>
          <w:color w:val="7030A0"/>
          <w:sz w:val="40"/>
          <w:szCs w:val="40"/>
        </w:rPr>
        <w:t>6</w:t>
      </w:r>
    </w:p>
    <w:p w14:paraId="5C6CD8CC" w14:textId="77777777" w:rsidR="006F4438" w:rsidRDefault="006F4438">
      <w:pPr>
        <w:spacing w:before="2"/>
        <w:rPr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2"/>
        <w:gridCol w:w="1416"/>
        <w:gridCol w:w="204"/>
        <w:gridCol w:w="1170"/>
        <w:gridCol w:w="740"/>
      </w:tblGrid>
      <w:tr w:rsidR="006F4438" w14:paraId="0658C8FE" w14:textId="77777777">
        <w:trPr>
          <w:trHeight w:val="554"/>
        </w:trPr>
        <w:tc>
          <w:tcPr>
            <w:tcW w:w="7508" w:type="dxa"/>
            <w:gridSpan w:val="2"/>
          </w:tcPr>
          <w:p w14:paraId="7CA9239F" w14:textId="77777777" w:rsidR="004D5D06" w:rsidRPr="004D5D06" w:rsidRDefault="005872C9" w:rsidP="00414B11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b/>
                <w:sz w:val="20"/>
                <w:szCs w:val="20"/>
                <w:lang w:bidi="ar-SA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Title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D5D06" w:rsidRPr="004D5D06">
              <w:rPr>
                <w:rFonts w:ascii="Arial" w:eastAsiaTheme="minorEastAsia" w:hAnsi="Arial" w:cs="Arial"/>
                <w:b/>
                <w:sz w:val="20"/>
                <w:szCs w:val="20"/>
                <w:lang w:bidi="ar-SA"/>
              </w:rPr>
              <w:t>Chapter 19: The kinetic theory of gases</w:t>
            </w:r>
          </w:p>
          <w:p w14:paraId="56C5EA77" w14:textId="746C5FEE" w:rsidR="006F4438" w:rsidRPr="006C3BF3" w:rsidRDefault="006F4438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14" w:type="dxa"/>
            <w:gridSpan w:val="3"/>
          </w:tcPr>
          <w:p w14:paraId="01C0C7B4" w14:textId="23466BF1" w:rsidR="006F4438" w:rsidRPr="00652893" w:rsidRDefault="005872C9" w:rsidP="00413350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Ref. No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Week </w:t>
            </w:r>
            <w:r w:rsidR="004D5D06">
              <w:rPr>
                <w:rFonts w:ascii="Arial" w:hAnsi="Arial" w:cs="Arial"/>
                <w:sz w:val="20"/>
                <w:szCs w:val="20"/>
              </w:rPr>
              <w:t>3</w:t>
            </w:r>
            <w:r w:rsidRPr="0065289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BB9EA27" w14:textId="50BD54B7" w:rsidR="006F4438" w:rsidRPr="00652893" w:rsidRDefault="005872C9" w:rsidP="00413350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Day </w:t>
            </w:r>
            <w:r w:rsidR="000475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F4438" w14:paraId="121904DA" w14:textId="77777777" w:rsidTr="003200F6">
        <w:trPr>
          <w:trHeight w:val="422"/>
        </w:trPr>
        <w:tc>
          <w:tcPr>
            <w:tcW w:w="7508" w:type="dxa"/>
            <w:gridSpan w:val="2"/>
          </w:tcPr>
          <w:p w14:paraId="17237531" w14:textId="34B2595F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Target Group/Population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B. Sc </w:t>
            </w:r>
            <w:r w:rsidR="006C2C4D" w:rsidRPr="00652893">
              <w:rPr>
                <w:rFonts w:ascii="Arial" w:hAnsi="Arial" w:cs="Arial"/>
                <w:sz w:val="20"/>
                <w:szCs w:val="20"/>
              </w:rPr>
              <w:t>students (CS, EEE and IPE)</w:t>
            </w:r>
          </w:p>
        </w:tc>
        <w:tc>
          <w:tcPr>
            <w:tcW w:w="2114" w:type="dxa"/>
            <w:gridSpan w:val="3"/>
          </w:tcPr>
          <w:p w14:paraId="4653A620" w14:textId="77777777" w:rsidR="006F4438" w:rsidRPr="00652893" w:rsidRDefault="005872C9" w:rsidP="00413350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Pr="00652893">
              <w:rPr>
                <w:rFonts w:ascii="Arial" w:hAnsi="Arial" w:cs="Arial"/>
                <w:sz w:val="20"/>
                <w:szCs w:val="20"/>
              </w:rPr>
              <w:t>: 90 min</w:t>
            </w:r>
          </w:p>
        </w:tc>
      </w:tr>
      <w:tr w:rsidR="006F4438" w14:paraId="5FC386F1" w14:textId="77777777" w:rsidTr="00413350">
        <w:trPr>
          <w:trHeight w:val="638"/>
        </w:trPr>
        <w:tc>
          <w:tcPr>
            <w:tcW w:w="9622" w:type="dxa"/>
            <w:gridSpan w:val="5"/>
          </w:tcPr>
          <w:p w14:paraId="6FDBEEEE" w14:textId="4CD74377" w:rsidR="00E97975" w:rsidRPr="00E97975" w:rsidRDefault="005872C9" w:rsidP="00414B11">
            <w:pPr>
              <w:ind w:left="420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Aims/Rationale</w:t>
            </w:r>
            <w:r w:rsidRPr="00652893">
              <w:rPr>
                <w:rFonts w:ascii="Arial" w:hAnsi="Arial" w:cs="Arial"/>
                <w:sz w:val="20"/>
                <w:szCs w:val="20"/>
              </w:rPr>
              <w:t>: To give the students basic concepts</w:t>
            </w:r>
            <w:r w:rsidR="007F2DCC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6C3BF3">
              <w:rPr>
                <w:rFonts w:ascii="Arial" w:hAnsi="Arial" w:cs="Arial"/>
                <w:sz w:val="20"/>
                <w:szCs w:val="20"/>
              </w:rPr>
              <w:t>f</w:t>
            </w:r>
            <w:r w:rsidR="00E979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p</w:t>
            </w:r>
            <w:r w:rsidR="00E97975" w:rsidRP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ressure, </w:t>
            </w:r>
            <w:r w:rsid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t</w:t>
            </w:r>
            <w:r w:rsidR="00E97975" w:rsidRP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emperature and RMS speed</w:t>
            </w:r>
            <w:r w:rsid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and t</w:t>
            </w:r>
            <w:r w:rsidR="00E97975" w:rsidRP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ranslational kinetic energy</w:t>
            </w:r>
          </w:p>
          <w:p w14:paraId="64DBCFE6" w14:textId="25A61763" w:rsidR="006F4438" w:rsidRPr="00652893" w:rsidRDefault="006F4438" w:rsidP="00414B11">
            <w:pPr>
              <w:shd w:val="clear" w:color="auto" w:fill="FFFFFF"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438" w14:paraId="4818FF38" w14:textId="77777777" w:rsidTr="00413350">
        <w:trPr>
          <w:trHeight w:val="692"/>
        </w:trPr>
        <w:tc>
          <w:tcPr>
            <w:tcW w:w="9622" w:type="dxa"/>
            <w:gridSpan w:val="5"/>
          </w:tcPr>
          <w:p w14:paraId="11B78293" w14:textId="7A7979DA" w:rsidR="006F4438" w:rsidRPr="00F1282C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Learning Outcomes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: At the end of the session, </w:t>
            </w:r>
            <w:r w:rsidR="006C3BF3">
              <w:rPr>
                <w:rFonts w:ascii="Arial" w:hAnsi="Arial" w:cs="Arial"/>
                <w:sz w:val="20"/>
                <w:szCs w:val="20"/>
              </w:rPr>
              <w:t>the student</w:t>
            </w:r>
            <w:r w:rsidRPr="00652893">
              <w:rPr>
                <w:rFonts w:ascii="Arial" w:hAnsi="Arial" w:cs="Arial"/>
                <w:sz w:val="20"/>
                <w:szCs w:val="20"/>
              </w:rPr>
              <w:t>s will be able to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966" w:rsidRPr="00310966">
              <w:rPr>
                <w:rFonts w:ascii="Arial" w:hAnsi="Arial" w:cs="Arial"/>
                <w:sz w:val="20"/>
                <w:szCs w:val="20"/>
              </w:rPr>
              <w:t xml:space="preserve">understand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and analyze above topics and </w:t>
            </w:r>
            <w:r w:rsidR="002E4A39" w:rsidRPr="00F1282C">
              <w:rPr>
                <w:rFonts w:ascii="Arial" w:hAnsi="Arial" w:cs="Arial"/>
                <w:sz w:val="20"/>
                <w:szCs w:val="20"/>
              </w:rPr>
              <w:t>a</w:t>
            </w:r>
            <w:r w:rsidRPr="00F1282C">
              <w:rPr>
                <w:rFonts w:ascii="Arial" w:hAnsi="Arial" w:cs="Arial"/>
                <w:sz w:val="20"/>
                <w:szCs w:val="20"/>
              </w:rPr>
              <w:t>pply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 those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 xml:space="preserve"> to solve </w:t>
            </w:r>
            <w:r w:rsidR="00F1282C">
              <w:rPr>
                <w:rFonts w:ascii="Arial" w:hAnsi="Arial" w:cs="Arial"/>
                <w:sz w:val="20"/>
                <w:szCs w:val="20"/>
              </w:rPr>
              <w:t xml:space="preserve">related </w:t>
            </w:r>
            <w:r w:rsidR="00F1282C" w:rsidRPr="00F1282C">
              <w:rPr>
                <w:rFonts w:ascii="Arial" w:hAnsi="Arial" w:cs="Arial"/>
                <w:sz w:val="20"/>
                <w:szCs w:val="20"/>
              </w:rPr>
              <w:t>problems</w:t>
            </w:r>
            <w:r w:rsidR="00F1282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F4438" w14:paraId="5C051880" w14:textId="77777777" w:rsidTr="00414B11">
        <w:trPr>
          <w:trHeight w:val="1178"/>
        </w:trPr>
        <w:tc>
          <w:tcPr>
            <w:tcW w:w="6092" w:type="dxa"/>
          </w:tcPr>
          <w:p w14:paraId="32EF413B" w14:textId="77777777" w:rsidR="00E97975" w:rsidRPr="00E97975" w:rsidRDefault="005872C9" w:rsidP="00414B11">
            <w:pPr>
              <w:ind w:left="420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Contents</w:t>
            </w:r>
            <w:r w:rsidRPr="00652893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9A136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97975" w:rsidRPr="00E97975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19-3: Pressure, Temperature, and RMS speed, 19-4: Translational kinetic energy</w:t>
            </w:r>
          </w:p>
          <w:p w14:paraId="0203DB91" w14:textId="2D586389" w:rsidR="006F4438" w:rsidRPr="00475585" w:rsidRDefault="006F4438" w:rsidP="00414B11">
            <w:pPr>
              <w:spacing w:line="276" w:lineRule="auto"/>
              <w:ind w:left="420" w:right="196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2"/>
          </w:tcPr>
          <w:p w14:paraId="690B0371" w14:textId="77777777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Method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69007FA" w14:textId="77777777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Technique</w:t>
            </w:r>
          </w:p>
        </w:tc>
        <w:tc>
          <w:tcPr>
            <w:tcW w:w="1170" w:type="dxa"/>
          </w:tcPr>
          <w:p w14:paraId="3E8EF150" w14:textId="77777777" w:rsidR="006F4438" w:rsidRPr="00652893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Resource</w:t>
            </w:r>
          </w:p>
          <w:p w14:paraId="0CCC6EB2" w14:textId="77777777" w:rsidR="006F4438" w:rsidRPr="00652893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or Aid</w:t>
            </w:r>
          </w:p>
        </w:tc>
        <w:tc>
          <w:tcPr>
            <w:tcW w:w="740" w:type="dxa"/>
          </w:tcPr>
          <w:p w14:paraId="19BF53F8" w14:textId="77777777" w:rsidR="006F4438" w:rsidRPr="00652893" w:rsidRDefault="005872C9" w:rsidP="0041335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</w:tr>
      <w:tr w:rsidR="006F4438" w14:paraId="2E133C5B" w14:textId="77777777" w:rsidTr="00414B11">
        <w:trPr>
          <w:trHeight w:val="1862"/>
        </w:trPr>
        <w:tc>
          <w:tcPr>
            <w:tcW w:w="6092" w:type="dxa"/>
          </w:tcPr>
          <w:p w14:paraId="4A89C44F" w14:textId="77777777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Introduction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677EFF" w14:textId="77777777" w:rsidR="005F7373" w:rsidRPr="00652893" w:rsidRDefault="005F7373" w:rsidP="00414B1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Welcome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address</w:t>
            </w:r>
          </w:p>
          <w:p w14:paraId="1A7FBC7A" w14:textId="77777777" w:rsidR="005F7373" w:rsidRPr="00652893" w:rsidRDefault="005F7373" w:rsidP="00414B1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Rapport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building</w:t>
            </w:r>
          </w:p>
          <w:p w14:paraId="316E64DF" w14:textId="77777777" w:rsidR="005F7373" w:rsidRPr="00652893" w:rsidRDefault="005F7373" w:rsidP="00414B1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Review the main topics of last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lecture</w:t>
            </w:r>
          </w:p>
          <w:p w14:paraId="73207C9A" w14:textId="77777777" w:rsidR="005F7373" w:rsidRPr="00652893" w:rsidRDefault="005F7373" w:rsidP="00414B11">
            <w:pPr>
              <w:pStyle w:val="TableParagraph"/>
              <w:numPr>
                <w:ilvl w:val="0"/>
                <w:numId w:val="2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Importance/bridging the</w:t>
            </w:r>
            <w:r w:rsidRPr="0065289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topic</w:t>
            </w:r>
          </w:p>
          <w:p w14:paraId="5770C396" w14:textId="32399155" w:rsidR="00F1282C" w:rsidRPr="00652893" w:rsidRDefault="005F7373" w:rsidP="00414B1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Pre-assessment of student’s</w:t>
            </w:r>
            <w:r w:rsidRPr="0065289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  <w:tc>
          <w:tcPr>
            <w:tcW w:w="1620" w:type="dxa"/>
            <w:gridSpan w:val="2"/>
          </w:tcPr>
          <w:p w14:paraId="77027147" w14:textId="77777777" w:rsidR="00413350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1C0C48EE" w14:textId="4E4CE538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</w:tc>
        <w:tc>
          <w:tcPr>
            <w:tcW w:w="1170" w:type="dxa"/>
          </w:tcPr>
          <w:p w14:paraId="7BD70A36" w14:textId="77777777" w:rsidR="00413350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E569A78" w14:textId="218B660F" w:rsidR="006F4438" w:rsidRPr="00652893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7B70B66C" w14:textId="77777777" w:rsidR="006F4438" w:rsidRPr="00652893" w:rsidRDefault="005872C9" w:rsidP="0041335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16D2CB0E" w14:textId="77777777" w:rsidTr="00414B11">
        <w:trPr>
          <w:trHeight w:val="1628"/>
        </w:trPr>
        <w:tc>
          <w:tcPr>
            <w:tcW w:w="6092" w:type="dxa"/>
          </w:tcPr>
          <w:p w14:paraId="32FF30EC" w14:textId="77777777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Development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145BEEF" w14:textId="03D0EE8F" w:rsidR="000475EE" w:rsidRPr="000475EE" w:rsidRDefault="000475EE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For an ideal gas, derive the expression for rms speed as a function of temperature.</w:t>
            </w:r>
          </w:p>
          <w:p w14:paraId="4101138B" w14:textId="77777777" w:rsidR="00FF1899" w:rsidRDefault="00FF1899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1BBADAED" w14:textId="005B1353" w:rsidR="000475EE" w:rsidRPr="000475EE" w:rsidRDefault="000475EE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2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. Derive the relationship between the average kinetic energy and the temperature of the gas.</w:t>
            </w:r>
          </w:p>
          <w:p w14:paraId="044B1737" w14:textId="7B07F4E3" w:rsidR="006F4438" w:rsidRPr="00956FF5" w:rsidRDefault="006F4438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contextualSpacing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620" w:type="dxa"/>
            <w:gridSpan w:val="2"/>
          </w:tcPr>
          <w:p w14:paraId="5C3B1C4A" w14:textId="77777777" w:rsidR="00E626AC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Lecture </w:t>
            </w:r>
          </w:p>
          <w:p w14:paraId="74DA1C7E" w14:textId="77777777" w:rsidR="00E626AC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Discussion </w:t>
            </w:r>
          </w:p>
          <w:p w14:paraId="24FD0345" w14:textId="62B92C01" w:rsidR="00E87974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QA</w:t>
            </w:r>
          </w:p>
          <w:p w14:paraId="032E302D" w14:textId="199850C8" w:rsidR="009C6B76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52893">
              <w:rPr>
                <w:rFonts w:ascii="Arial" w:hAnsi="Arial" w:cs="Arial"/>
                <w:sz w:val="20"/>
                <w:szCs w:val="20"/>
              </w:rPr>
              <w:t>Problem Solving</w:t>
            </w:r>
          </w:p>
        </w:tc>
        <w:tc>
          <w:tcPr>
            <w:tcW w:w="1170" w:type="dxa"/>
          </w:tcPr>
          <w:p w14:paraId="09418A8D" w14:textId="77777777" w:rsidR="00413350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1DFAD1B7" w14:textId="03AFC5BD" w:rsidR="006F4438" w:rsidRPr="00652893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3A4C2922" w14:textId="77777777" w:rsidR="006F4438" w:rsidRPr="00652893" w:rsidRDefault="005872C9" w:rsidP="0041335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60 min</w:t>
            </w:r>
          </w:p>
        </w:tc>
      </w:tr>
      <w:tr w:rsidR="006F4438" w14:paraId="5E9A1A95" w14:textId="77777777" w:rsidTr="00414B11">
        <w:trPr>
          <w:trHeight w:val="1592"/>
        </w:trPr>
        <w:tc>
          <w:tcPr>
            <w:tcW w:w="6092" w:type="dxa"/>
          </w:tcPr>
          <w:p w14:paraId="2FC4996D" w14:textId="77777777" w:rsidR="006F4438" w:rsidRPr="00652893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1539FC">
              <w:rPr>
                <w:rFonts w:ascii="Arial" w:hAnsi="Arial" w:cs="Arial"/>
                <w:b/>
                <w:color w:val="7030A0"/>
                <w:sz w:val="20"/>
                <w:szCs w:val="20"/>
              </w:rPr>
              <w:t>Conclusion</w:t>
            </w:r>
            <w:r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43EAD10" w14:textId="77777777" w:rsidR="006F4438" w:rsidRPr="00652893" w:rsidRDefault="005872C9" w:rsidP="00414B1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Quick recap/summary</w:t>
            </w:r>
          </w:p>
          <w:p w14:paraId="1381F6B6" w14:textId="40458C4B" w:rsidR="006F4438" w:rsidRPr="00652893" w:rsidRDefault="005872C9" w:rsidP="00414B1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Feedback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from the</w:t>
            </w:r>
            <w:r w:rsidRPr="0065289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52893">
              <w:rPr>
                <w:rFonts w:ascii="Arial" w:hAnsi="Arial" w:cs="Arial"/>
                <w:sz w:val="20"/>
                <w:szCs w:val="20"/>
              </w:rPr>
              <w:t>students</w:t>
            </w:r>
          </w:p>
          <w:p w14:paraId="7BE26AEC" w14:textId="77777777" w:rsidR="006F4438" w:rsidRPr="00652893" w:rsidRDefault="005872C9" w:rsidP="00414B1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References</w:t>
            </w:r>
          </w:p>
          <w:p w14:paraId="382CD286" w14:textId="47E6D389" w:rsidR="006F4438" w:rsidRPr="00652893" w:rsidRDefault="005872C9" w:rsidP="00414B11">
            <w:pPr>
              <w:pStyle w:val="TableParagraph"/>
              <w:numPr>
                <w:ilvl w:val="0"/>
                <w:numId w:val="1"/>
              </w:numPr>
              <w:tabs>
                <w:tab w:val="left" w:pos="887"/>
                <w:tab w:val="left" w:pos="888"/>
              </w:tabs>
              <w:spacing w:line="276" w:lineRule="auto"/>
              <w:ind w:left="420" w:right="196" w:hanging="361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Forward</w:t>
            </w:r>
            <w:r w:rsidRPr="0065289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30198" w:rsidRPr="00652893">
              <w:rPr>
                <w:rFonts w:ascii="Arial" w:hAnsi="Arial" w:cs="Arial"/>
                <w:sz w:val="20"/>
                <w:szCs w:val="20"/>
              </w:rPr>
              <w:t>p</w:t>
            </w:r>
            <w:r w:rsidRPr="00652893">
              <w:rPr>
                <w:rFonts w:ascii="Arial" w:hAnsi="Arial" w:cs="Arial"/>
                <w:sz w:val="20"/>
                <w:szCs w:val="20"/>
              </w:rPr>
              <w:t>lanning</w:t>
            </w:r>
          </w:p>
        </w:tc>
        <w:tc>
          <w:tcPr>
            <w:tcW w:w="1620" w:type="dxa"/>
            <w:gridSpan w:val="2"/>
          </w:tcPr>
          <w:p w14:paraId="2A954303" w14:textId="77777777" w:rsidR="006F4438" w:rsidRPr="00652893" w:rsidRDefault="006F4438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AD090BA" w14:textId="77777777" w:rsidR="00413350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 xml:space="preserve">WB </w:t>
            </w:r>
          </w:p>
          <w:p w14:paraId="3B3885E2" w14:textId="326D011D" w:rsidR="006F4438" w:rsidRPr="00652893" w:rsidRDefault="005872C9" w:rsidP="00E626AC">
            <w:pPr>
              <w:pStyle w:val="TableParagraph"/>
              <w:spacing w:line="276" w:lineRule="auto"/>
              <w:ind w:right="196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MMP</w:t>
            </w:r>
          </w:p>
        </w:tc>
        <w:tc>
          <w:tcPr>
            <w:tcW w:w="740" w:type="dxa"/>
          </w:tcPr>
          <w:p w14:paraId="027506FF" w14:textId="77777777" w:rsidR="006F4438" w:rsidRPr="00652893" w:rsidRDefault="005872C9" w:rsidP="00413350">
            <w:pPr>
              <w:pStyle w:val="TableParagraph"/>
              <w:spacing w:line="276" w:lineRule="auto"/>
              <w:ind w:left="108"/>
              <w:rPr>
                <w:rFonts w:ascii="Arial" w:hAnsi="Arial" w:cs="Arial"/>
                <w:sz w:val="20"/>
                <w:szCs w:val="20"/>
              </w:rPr>
            </w:pPr>
            <w:r w:rsidRPr="00652893">
              <w:rPr>
                <w:rFonts w:ascii="Arial" w:hAnsi="Arial" w:cs="Arial"/>
                <w:sz w:val="20"/>
                <w:szCs w:val="20"/>
              </w:rPr>
              <w:t>15 min</w:t>
            </w:r>
          </w:p>
        </w:tc>
      </w:tr>
      <w:tr w:rsidR="006F4438" w14:paraId="26226204" w14:textId="77777777">
        <w:trPr>
          <w:trHeight w:val="1310"/>
        </w:trPr>
        <w:tc>
          <w:tcPr>
            <w:tcW w:w="9622" w:type="dxa"/>
            <w:gridSpan w:val="5"/>
          </w:tcPr>
          <w:p w14:paraId="58FABDF1" w14:textId="0135081A" w:rsidR="006F4438" w:rsidRDefault="005872C9" w:rsidP="00414B11">
            <w:pPr>
              <w:pStyle w:val="TableParagraph"/>
              <w:spacing w:line="276" w:lineRule="auto"/>
              <w:ind w:left="420" w:right="196"/>
              <w:rPr>
                <w:rFonts w:ascii="Arial" w:hAnsi="Arial" w:cs="Arial"/>
                <w:sz w:val="20"/>
                <w:szCs w:val="20"/>
              </w:rPr>
            </w:pPr>
            <w:r w:rsidRPr="001539FC">
              <w:rPr>
                <w:rFonts w:ascii="Arial" w:hAnsi="Arial" w:cs="Arial"/>
                <w:color w:val="7030A0"/>
                <w:sz w:val="20"/>
                <w:szCs w:val="20"/>
              </w:rPr>
              <w:t>Problems</w:t>
            </w:r>
            <w:r w:rsidR="002E4A39" w:rsidRPr="0065289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46C8B82" w14:textId="77777777" w:rsidR="000475EE" w:rsidRPr="000475EE" w:rsidRDefault="000475EE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18. The temperature and pressure in the Sun’s atmosphere are 2.00x10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6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K and 0.0300 Pa. Calculate the rms speed of free electrons (mass 9.11x10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-31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 kg) there, assuming they are an ideal gas.</w:t>
            </w:r>
          </w:p>
          <w:p w14:paraId="7A5909A8" w14:textId="77777777" w:rsidR="00FF1899" w:rsidRDefault="00FF1899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</w:p>
          <w:p w14:paraId="3CE63D2F" w14:textId="6157A4C5" w:rsidR="00EB082F" w:rsidRDefault="000475EE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eastAsiaTheme="minorEastAsia" w:hAnsi="Arial" w:cs="Arial"/>
                <w:sz w:val="20"/>
                <w:szCs w:val="20"/>
                <w:lang w:bidi="ar-SA"/>
              </w:rPr>
            </w:pP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25. Determine the average value of the translational kinetic energy of the molecules of an ideal gas at temperatures (a) 0.00 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C and (b) 100 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C. What is the translational kinetic energy per mole of an ideal gas at (c) 0.00 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 xml:space="preserve">C and (d) 100 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vertAlign w:val="superscript"/>
                <w:lang w:bidi="ar-SA"/>
              </w:rPr>
              <w:t>0</w:t>
            </w:r>
            <w:r w:rsidRPr="000475EE">
              <w:rPr>
                <w:rFonts w:ascii="Arial" w:eastAsiaTheme="minorEastAsia" w:hAnsi="Arial" w:cs="Arial"/>
                <w:sz w:val="20"/>
                <w:szCs w:val="20"/>
                <w:lang w:bidi="ar-SA"/>
              </w:rPr>
              <w:t>C?</w:t>
            </w:r>
          </w:p>
          <w:p w14:paraId="3F2268FC" w14:textId="0C284D95" w:rsidR="006F4438" w:rsidRPr="00652893" w:rsidRDefault="006F4438" w:rsidP="00414B11">
            <w:pPr>
              <w:widowControl/>
              <w:shd w:val="clear" w:color="auto" w:fill="FFFFFF"/>
              <w:autoSpaceDE/>
              <w:autoSpaceDN/>
              <w:spacing w:line="276" w:lineRule="auto"/>
              <w:ind w:left="420" w:right="19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016FE76" w14:textId="77777777" w:rsidR="005872C9" w:rsidRDefault="005872C9"/>
    <w:sectPr w:rsidR="005872C9">
      <w:type w:val="continuous"/>
      <w:pgSz w:w="12240" w:h="15840"/>
      <w:pgMar w:top="10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D19A2"/>
    <w:multiLevelType w:val="hybridMultilevel"/>
    <w:tmpl w:val="41F48CE2"/>
    <w:lvl w:ilvl="0" w:tplc="3C4A3A58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FD47BE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D6FE897E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239ECD4C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8C1C9788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D24C28D2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8D0C6C1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0D082B00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1E46E40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EA75C3D"/>
    <w:multiLevelType w:val="hybridMultilevel"/>
    <w:tmpl w:val="A6ACB7F0"/>
    <w:lvl w:ilvl="0" w:tplc="19C044F2">
      <w:numFmt w:val="bullet"/>
      <w:lvlText w:val="-"/>
      <w:lvlJc w:val="left"/>
      <w:pPr>
        <w:ind w:left="887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5DEECC0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en-US"/>
      </w:rPr>
    </w:lvl>
    <w:lvl w:ilvl="2" w:tplc="15385C68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3" w:tplc="5E5C872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4" w:tplc="739A6AEA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5" w:tplc="012E8940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en-US"/>
      </w:rPr>
    </w:lvl>
    <w:lvl w:ilvl="6" w:tplc="FBFEED6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7" w:tplc="9ED0436C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en-US"/>
      </w:rPr>
    </w:lvl>
    <w:lvl w:ilvl="8" w:tplc="D874826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56D2D94"/>
    <w:multiLevelType w:val="hybridMultilevel"/>
    <w:tmpl w:val="A8D8D960"/>
    <w:lvl w:ilvl="0" w:tplc="E8C437C2">
      <w:start w:val="1"/>
      <w:numFmt w:val="lowerLetter"/>
      <w:lvlText w:val="(%1)"/>
      <w:lvlJc w:val="left"/>
      <w:pPr>
        <w:ind w:left="107" w:hanging="334"/>
        <w:jc w:val="left"/>
      </w:pPr>
      <w:rPr>
        <w:rFonts w:hint="default"/>
        <w:w w:val="100"/>
        <w:lang w:val="en-US" w:eastAsia="en-US" w:bidi="en-US"/>
      </w:rPr>
    </w:lvl>
    <w:lvl w:ilvl="1" w:tplc="68C24682">
      <w:numFmt w:val="bullet"/>
      <w:lvlText w:val="•"/>
      <w:lvlJc w:val="left"/>
      <w:pPr>
        <w:ind w:left="1051" w:hanging="334"/>
      </w:pPr>
      <w:rPr>
        <w:rFonts w:hint="default"/>
        <w:lang w:val="en-US" w:eastAsia="en-US" w:bidi="en-US"/>
      </w:rPr>
    </w:lvl>
    <w:lvl w:ilvl="2" w:tplc="3D16F98C">
      <w:numFmt w:val="bullet"/>
      <w:lvlText w:val="•"/>
      <w:lvlJc w:val="left"/>
      <w:pPr>
        <w:ind w:left="2002" w:hanging="334"/>
      </w:pPr>
      <w:rPr>
        <w:rFonts w:hint="default"/>
        <w:lang w:val="en-US" w:eastAsia="en-US" w:bidi="en-US"/>
      </w:rPr>
    </w:lvl>
    <w:lvl w:ilvl="3" w:tplc="084C9B14">
      <w:numFmt w:val="bullet"/>
      <w:lvlText w:val="•"/>
      <w:lvlJc w:val="left"/>
      <w:pPr>
        <w:ind w:left="2953" w:hanging="334"/>
      </w:pPr>
      <w:rPr>
        <w:rFonts w:hint="default"/>
        <w:lang w:val="en-US" w:eastAsia="en-US" w:bidi="en-US"/>
      </w:rPr>
    </w:lvl>
    <w:lvl w:ilvl="4" w:tplc="F2C8A48A">
      <w:numFmt w:val="bullet"/>
      <w:lvlText w:val="•"/>
      <w:lvlJc w:val="left"/>
      <w:pPr>
        <w:ind w:left="3904" w:hanging="334"/>
      </w:pPr>
      <w:rPr>
        <w:rFonts w:hint="default"/>
        <w:lang w:val="en-US" w:eastAsia="en-US" w:bidi="en-US"/>
      </w:rPr>
    </w:lvl>
    <w:lvl w:ilvl="5" w:tplc="F3186986">
      <w:numFmt w:val="bullet"/>
      <w:lvlText w:val="•"/>
      <w:lvlJc w:val="left"/>
      <w:pPr>
        <w:ind w:left="4856" w:hanging="334"/>
      </w:pPr>
      <w:rPr>
        <w:rFonts w:hint="default"/>
        <w:lang w:val="en-US" w:eastAsia="en-US" w:bidi="en-US"/>
      </w:rPr>
    </w:lvl>
    <w:lvl w:ilvl="6" w:tplc="BAC49964">
      <w:numFmt w:val="bullet"/>
      <w:lvlText w:val="•"/>
      <w:lvlJc w:val="left"/>
      <w:pPr>
        <w:ind w:left="5807" w:hanging="334"/>
      </w:pPr>
      <w:rPr>
        <w:rFonts w:hint="default"/>
        <w:lang w:val="en-US" w:eastAsia="en-US" w:bidi="en-US"/>
      </w:rPr>
    </w:lvl>
    <w:lvl w:ilvl="7" w:tplc="0FCC8046">
      <w:numFmt w:val="bullet"/>
      <w:lvlText w:val="•"/>
      <w:lvlJc w:val="left"/>
      <w:pPr>
        <w:ind w:left="6758" w:hanging="334"/>
      </w:pPr>
      <w:rPr>
        <w:rFonts w:hint="default"/>
        <w:lang w:val="en-US" w:eastAsia="en-US" w:bidi="en-US"/>
      </w:rPr>
    </w:lvl>
    <w:lvl w:ilvl="8" w:tplc="79B206A0">
      <w:numFmt w:val="bullet"/>
      <w:lvlText w:val="•"/>
      <w:lvlJc w:val="left"/>
      <w:pPr>
        <w:ind w:left="7709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8"/>
    <w:rsid w:val="000475EE"/>
    <w:rsid w:val="000A04F7"/>
    <w:rsid w:val="001539FC"/>
    <w:rsid w:val="00177A92"/>
    <w:rsid w:val="001822A7"/>
    <w:rsid w:val="001B34C3"/>
    <w:rsid w:val="001C1C79"/>
    <w:rsid w:val="001E3839"/>
    <w:rsid w:val="002060B4"/>
    <w:rsid w:val="00215910"/>
    <w:rsid w:val="002E4A39"/>
    <w:rsid w:val="00310966"/>
    <w:rsid w:val="003200F6"/>
    <w:rsid w:val="00375922"/>
    <w:rsid w:val="00413350"/>
    <w:rsid w:val="00414B11"/>
    <w:rsid w:val="0041513E"/>
    <w:rsid w:val="00430198"/>
    <w:rsid w:val="00475585"/>
    <w:rsid w:val="004D5D06"/>
    <w:rsid w:val="005872C9"/>
    <w:rsid w:val="005B3A54"/>
    <w:rsid w:val="005D2FB6"/>
    <w:rsid w:val="005D39F1"/>
    <w:rsid w:val="005F7373"/>
    <w:rsid w:val="006416BB"/>
    <w:rsid w:val="00652893"/>
    <w:rsid w:val="006C2C4D"/>
    <w:rsid w:val="006C3BF3"/>
    <w:rsid w:val="006F4438"/>
    <w:rsid w:val="007F2DCC"/>
    <w:rsid w:val="008528D7"/>
    <w:rsid w:val="00946B60"/>
    <w:rsid w:val="009471A9"/>
    <w:rsid w:val="00956FF5"/>
    <w:rsid w:val="0098057E"/>
    <w:rsid w:val="009A1367"/>
    <w:rsid w:val="009C2E3C"/>
    <w:rsid w:val="009C6B76"/>
    <w:rsid w:val="009E4DE4"/>
    <w:rsid w:val="00A2523A"/>
    <w:rsid w:val="00A57D36"/>
    <w:rsid w:val="00A94C86"/>
    <w:rsid w:val="00B2205E"/>
    <w:rsid w:val="00B42C5F"/>
    <w:rsid w:val="00C541B6"/>
    <w:rsid w:val="00C93C0C"/>
    <w:rsid w:val="00D76DB3"/>
    <w:rsid w:val="00E34E56"/>
    <w:rsid w:val="00E626AC"/>
    <w:rsid w:val="00E87974"/>
    <w:rsid w:val="00E97975"/>
    <w:rsid w:val="00EA3347"/>
    <w:rsid w:val="00EB082F"/>
    <w:rsid w:val="00F100BC"/>
    <w:rsid w:val="00F1282C"/>
    <w:rsid w:val="00F154FB"/>
    <w:rsid w:val="00F71353"/>
    <w:rsid w:val="00FB7977"/>
    <w:rsid w:val="00FB7CED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756A"/>
  <w15:docId w15:val="{1651449F-239C-43BD-8567-58E7704D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A885DE740EF4080AD70DC73B84BCF" ma:contentTypeVersion="0" ma:contentTypeDescription="Create a new document." ma:contentTypeScope="" ma:versionID="7fdef8086d2924fbb0f10881c395cd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409FD6-C8F2-491F-B46F-BEE2E3EEE0AC}"/>
</file>

<file path=customXml/itemProps2.xml><?xml version="1.0" encoding="utf-8"?>
<ds:datastoreItem xmlns:ds="http://schemas.openxmlformats.org/officeDocument/2006/customXml" ds:itemID="{DC2AC1DC-B8FB-4559-8B98-792D88803D0A}"/>
</file>

<file path=customXml/itemProps3.xml><?xml version="1.0" encoding="utf-8"?>
<ds:datastoreItem xmlns:ds="http://schemas.openxmlformats.org/officeDocument/2006/customXml" ds:itemID="{6D776520-D107-416F-A6FC-587F816F92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Dr. Md. Nurul Kabir Bhuiyan</cp:lastModifiedBy>
  <cp:revision>94</cp:revision>
  <dcterms:created xsi:type="dcterms:W3CDTF">2020-01-28T03:53:00Z</dcterms:created>
  <dcterms:modified xsi:type="dcterms:W3CDTF">2020-05-06T07:35:00Z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2019-12-30T00:00:00Z</vt:filetime>
  </property>
  <property fmtid="{D5CDD505-2E9C-101B-9397-08002B2CF9AE}" pid="5" name="ContentTypeId">
    <vt:lpwstr>0x01010070EA885DE740EF4080AD70DC73B84BCF</vt:lpwstr>
  </property>
</Properties>
</file>