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2"/>
      </w:tblGrid>
      <w:tr w:rsidR="004C28A3" w14:paraId="2E2E53EF" w14:textId="77777777" w:rsidTr="000E3B22">
        <w:tblPrEx>
          <w:tblCellMar>
            <w:top w:w="0" w:type="dxa"/>
            <w:bottom w:w="0" w:type="dxa"/>
          </w:tblCellMar>
        </w:tblPrEx>
        <w:trPr>
          <w:trHeight w:val="944"/>
        </w:trPr>
        <w:tc>
          <w:tcPr>
            <w:tcW w:w="10632" w:type="dxa"/>
            <w:shd w:val="clear" w:color="auto" w:fill="13294B"/>
            <w:tcMar>
              <w:top w:w="400" w:type="dxa"/>
              <w:left w:w="300" w:type="dxa"/>
              <w:bottom w:w="400" w:type="dxa"/>
              <w:right w:w="300" w:type="dxa"/>
            </w:tcMar>
          </w:tcPr>
          <w:p w14:paraId="365A39F6" w14:textId="77777777" w:rsidR="004C28A3" w:rsidRDefault="00000000">
            <w:pPr>
              <w:jc w:val="center"/>
            </w:pPr>
            <w:r>
              <w:rPr>
                <w:b/>
                <w:bCs/>
                <w:color w:val="FFFFFF"/>
                <w:sz w:val="40"/>
                <w:szCs w:val="40"/>
              </w:rPr>
              <w:t>LOAN DEFAULT RISK ANALYSIS</w:t>
            </w:r>
          </w:p>
          <w:p w14:paraId="3E6E7293" w14:textId="77777777" w:rsidR="004C28A3" w:rsidRDefault="00000000">
            <w:pPr>
              <w:spacing w:before="100"/>
              <w:jc w:val="center"/>
            </w:pPr>
            <w:r>
              <w:rPr>
                <w:color w:val="D9E2F3"/>
                <w:sz w:val="22"/>
                <w:szCs w:val="22"/>
              </w:rPr>
              <w:t>Final Report — Portfolio Insights &amp; Recommendations</w:t>
            </w:r>
          </w:p>
        </w:tc>
      </w:tr>
    </w:tbl>
    <w:p w14:paraId="4256CC32" w14:textId="77777777" w:rsidR="004C28A3" w:rsidRDefault="004C28A3">
      <w:pPr>
        <w:spacing w:after="200"/>
      </w:pPr>
    </w:p>
    <w:p w14:paraId="16E461E0" w14:textId="77777777" w:rsidR="004C28A3" w:rsidRDefault="00000000">
      <w:pPr>
        <w:pStyle w:val="Heading2"/>
        <w:spacing w:before="240" w:after="120"/>
      </w:pPr>
      <w:r>
        <w:rPr>
          <w:b/>
          <w:bCs/>
          <w:color w:val="1F3864"/>
          <w:sz w:val="24"/>
          <w:szCs w:val="24"/>
        </w:rPr>
        <w:t>1. Executive Summary</w:t>
      </w:r>
    </w:p>
    <w:p w14:paraId="5A812CC6" w14:textId="052B89CD" w:rsidR="000E3B22" w:rsidRPr="000E3B22" w:rsidRDefault="00000000" w:rsidP="000E3B22">
      <w:pPr>
        <w:spacing w:after="140" w:line="300" w:lineRule="auto"/>
        <w:jc w:val="both"/>
        <w:rPr>
          <w:color w:val="262626"/>
          <w:sz w:val="22"/>
          <w:szCs w:val="22"/>
        </w:rPr>
      </w:pPr>
      <w:r w:rsidRPr="000E3B22">
        <w:rPr>
          <w:color w:val="262626"/>
          <w:sz w:val="22"/>
          <w:szCs w:val="22"/>
        </w:rPr>
        <w:t>This</w:t>
      </w:r>
      <w:r w:rsidR="000E3B22" w:rsidRPr="000E3B22">
        <w:rPr>
          <w:color w:val="262626"/>
          <w:sz w:val="22"/>
          <w:szCs w:val="22"/>
        </w:rPr>
        <w:t xml:space="preserve"> report </w:t>
      </w:r>
      <w:r w:rsidR="007F2DE8" w:rsidRPr="000E3B22">
        <w:rPr>
          <w:color w:val="262626"/>
          <w:sz w:val="22"/>
          <w:szCs w:val="22"/>
        </w:rPr>
        <w:t>analy</w:t>
      </w:r>
      <w:r w:rsidR="007F2DE8">
        <w:rPr>
          <w:color w:val="262626"/>
          <w:sz w:val="22"/>
          <w:szCs w:val="22"/>
        </w:rPr>
        <w:t>s</w:t>
      </w:r>
      <w:r w:rsidR="007F2DE8" w:rsidRPr="000E3B22">
        <w:rPr>
          <w:color w:val="262626"/>
          <w:sz w:val="22"/>
          <w:szCs w:val="22"/>
        </w:rPr>
        <w:t>es</w:t>
      </w:r>
      <w:r w:rsidR="000E3B22" w:rsidRPr="000E3B22">
        <w:rPr>
          <w:color w:val="262626"/>
          <w:sz w:val="22"/>
          <w:szCs w:val="22"/>
        </w:rPr>
        <w:t xml:space="preserve"> </w:t>
      </w:r>
      <w:r w:rsidR="000E3B22" w:rsidRPr="000E3B22">
        <w:rPr>
          <w:b/>
          <w:bCs/>
          <w:color w:val="262626"/>
          <w:sz w:val="22"/>
          <w:szCs w:val="22"/>
        </w:rPr>
        <w:t>9,578 historical loan records</w:t>
      </w:r>
      <w:r w:rsidR="000E3B22" w:rsidRPr="000E3B22">
        <w:rPr>
          <w:color w:val="262626"/>
          <w:sz w:val="22"/>
          <w:szCs w:val="22"/>
        </w:rPr>
        <w:t xml:space="preserve"> to identify the major factors influencing loan default risk. The dataset includes key borrower characteristics such as </w:t>
      </w:r>
      <w:r w:rsidR="000E3B22" w:rsidRPr="000E3B22">
        <w:rPr>
          <w:b/>
          <w:bCs/>
          <w:color w:val="262626"/>
          <w:sz w:val="22"/>
          <w:szCs w:val="22"/>
        </w:rPr>
        <w:t>FICO score, annual income, debt-to-income (DTI) ratio, revolving credit utilization, recent credit inquiries, delinquency history, and loan purpose</w:t>
      </w:r>
      <w:r w:rsidR="000E3B22" w:rsidRPr="000E3B22">
        <w:rPr>
          <w:color w:val="262626"/>
          <w:sz w:val="22"/>
          <w:szCs w:val="22"/>
        </w:rPr>
        <w:t xml:space="preserve">. Overall, the loan portfolio has a </w:t>
      </w:r>
      <w:r w:rsidR="000E3B22" w:rsidRPr="000E3B22">
        <w:rPr>
          <w:b/>
          <w:bCs/>
          <w:color w:val="262626"/>
          <w:sz w:val="22"/>
          <w:szCs w:val="22"/>
        </w:rPr>
        <w:t>16.01% default rate</w:t>
      </w:r>
      <w:r w:rsidR="000E3B22" w:rsidRPr="000E3B22">
        <w:rPr>
          <w:color w:val="262626"/>
          <w:sz w:val="22"/>
          <w:szCs w:val="22"/>
        </w:rPr>
        <w:t xml:space="preserve">, with borrowers having an average </w:t>
      </w:r>
      <w:r w:rsidR="000E3B22" w:rsidRPr="000E3B22">
        <w:rPr>
          <w:b/>
          <w:bCs/>
          <w:color w:val="262626"/>
          <w:sz w:val="22"/>
          <w:szCs w:val="22"/>
        </w:rPr>
        <w:t>FICO score of 711</w:t>
      </w:r>
      <w:r w:rsidR="000E3B22" w:rsidRPr="000E3B22">
        <w:rPr>
          <w:color w:val="262626"/>
          <w:sz w:val="22"/>
          <w:szCs w:val="22"/>
        </w:rPr>
        <w:t xml:space="preserve"> and an average </w:t>
      </w:r>
      <w:r w:rsidR="000E3B22" w:rsidRPr="000E3B22">
        <w:rPr>
          <w:b/>
          <w:bCs/>
          <w:color w:val="262626"/>
          <w:sz w:val="22"/>
          <w:szCs w:val="22"/>
        </w:rPr>
        <w:t>interest rate of 12.26%</w:t>
      </w:r>
      <w:r w:rsidR="000E3B22" w:rsidRPr="000E3B22">
        <w:rPr>
          <w:color w:val="262626"/>
          <w:sz w:val="22"/>
          <w:szCs w:val="22"/>
        </w:rPr>
        <w:t>, indicating a portfolio with generally good credit quality.</w:t>
      </w:r>
    </w:p>
    <w:p w14:paraId="289F8A16" w14:textId="77777777" w:rsidR="000E3B22" w:rsidRPr="000E3B22" w:rsidRDefault="000E3B22" w:rsidP="000E3B22">
      <w:pPr>
        <w:spacing w:after="140" w:line="300" w:lineRule="auto"/>
        <w:jc w:val="both"/>
        <w:rPr>
          <w:color w:val="262626"/>
          <w:sz w:val="22"/>
          <w:szCs w:val="22"/>
        </w:rPr>
      </w:pPr>
      <w:r w:rsidRPr="000E3B22">
        <w:rPr>
          <w:color w:val="262626"/>
          <w:sz w:val="22"/>
          <w:szCs w:val="22"/>
        </w:rPr>
        <w:t xml:space="preserve">The analysis reveals that default risk is not evenly distributed across the portfolio but is concentrated within specific borrower segments. Variables such as </w:t>
      </w:r>
      <w:r w:rsidRPr="000E3B22">
        <w:rPr>
          <w:b/>
          <w:bCs/>
          <w:color w:val="262626"/>
          <w:sz w:val="22"/>
          <w:szCs w:val="22"/>
        </w:rPr>
        <w:t>loan purpose, FICO score, DTI ratio, revolving credit utilization, and recent credit inquiries</w:t>
      </w:r>
      <w:r w:rsidRPr="000E3B22">
        <w:rPr>
          <w:color w:val="262626"/>
          <w:sz w:val="22"/>
          <w:szCs w:val="22"/>
        </w:rPr>
        <w:t xml:space="preserve"> emerge as the strongest predictors of default. These insights provide a foundation for improving </w:t>
      </w:r>
      <w:r w:rsidRPr="000E3B22">
        <w:rPr>
          <w:b/>
          <w:bCs/>
          <w:color w:val="262626"/>
          <w:sz w:val="22"/>
          <w:szCs w:val="22"/>
        </w:rPr>
        <w:t>credit underwriting, risk-based pricing, and portfolio monitoring</w:t>
      </w:r>
      <w:r w:rsidRPr="000E3B22">
        <w:rPr>
          <w:color w:val="262626"/>
          <w:sz w:val="22"/>
          <w:szCs w:val="22"/>
        </w:rPr>
        <w:t>, enabling lenders to identify high-risk borrowers more effectively while supporting better lending decisions and reducing future credit losses.</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2602"/>
        <w:gridCol w:w="2603"/>
        <w:gridCol w:w="2603"/>
      </w:tblGrid>
      <w:tr w:rsidR="004C28A3" w14:paraId="6F28892B" w14:textId="77777777" w:rsidTr="007F2DE8">
        <w:tblPrEx>
          <w:tblCellMar>
            <w:top w:w="0" w:type="dxa"/>
            <w:bottom w:w="0" w:type="dxa"/>
          </w:tblCellMar>
        </w:tblPrEx>
        <w:trPr>
          <w:trHeight w:val="710"/>
        </w:trPr>
        <w:tc>
          <w:tcPr>
            <w:tcW w:w="2602" w:type="dxa"/>
            <w:shd w:val="clear" w:color="auto" w:fill="13294B"/>
            <w:tcMar>
              <w:top w:w="180" w:type="dxa"/>
              <w:left w:w="100" w:type="dxa"/>
              <w:bottom w:w="60" w:type="dxa"/>
              <w:right w:w="100" w:type="dxa"/>
            </w:tcMar>
          </w:tcPr>
          <w:p w14:paraId="4DF3768D" w14:textId="77777777" w:rsidR="004C28A3" w:rsidRDefault="00000000">
            <w:pPr>
              <w:jc w:val="center"/>
            </w:pPr>
            <w:r>
              <w:rPr>
                <w:b/>
                <w:bCs/>
                <w:color w:val="FFFFFF"/>
                <w:sz w:val="34"/>
                <w:szCs w:val="34"/>
              </w:rPr>
              <w:t>10,000</w:t>
            </w:r>
          </w:p>
        </w:tc>
        <w:tc>
          <w:tcPr>
            <w:tcW w:w="2602" w:type="dxa"/>
            <w:shd w:val="clear" w:color="auto" w:fill="13294B"/>
            <w:tcMar>
              <w:top w:w="180" w:type="dxa"/>
              <w:left w:w="100" w:type="dxa"/>
              <w:bottom w:w="60" w:type="dxa"/>
              <w:right w:w="100" w:type="dxa"/>
            </w:tcMar>
          </w:tcPr>
          <w:p w14:paraId="1017D338" w14:textId="77777777" w:rsidR="004C28A3" w:rsidRDefault="00000000">
            <w:pPr>
              <w:jc w:val="center"/>
            </w:pPr>
            <w:r>
              <w:rPr>
                <w:b/>
                <w:bCs/>
                <w:color w:val="FFFFFF"/>
                <w:sz w:val="34"/>
                <w:szCs w:val="34"/>
              </w:rPr>
              <w:t>16.01%</w:t>
            </w:r>
          </w:p>
        </w:tc>
        <w:tc>
          <w:tcPr>
            <w:tcW w:w="2603" w:type="dxa"/>
            <w:shd w:val="clear" w:color="auto" w:fill="13294B"/>
            <w:tcMar>
              <w:top w:w="180" w:type="dxa"/>
              <w:left w:w="100" w:type="dxa"/>
              <w:bottom w:w="60" w:type="dxa"/>
              <w:right w:w="100" w:type="dxa"/>
            </w:tcMar>
          </w:tcPr>
          <w:p w14:paraId="7D0ED691" w14:textId="77777777" w:rsidR="004C28A3" w:rsidRDefault="00000000">
            <w:pPr>
              <w:jc w:val="center"/>
            </w:pPr>
            <w:r>
              <w:rPr>
                <w:b/>
                <w:bCs/>
                <w:color w:val="FFFFFF"/>
                <w:sz w:val="34"/>
                <w:szCs w:val="34"/>
              </w:rPr>
              <w:t>711</w:t>
            </w:r>
          </w:p>
        </w:tc>
        <w:tc>
          <w:tcPr>
            <w:tcW w:w="2603" w:type="dxa"/>
            <w:shd w:val="clear" w:color="auto" w:fill="13294B"/>
            <w:tcMar>
              <w:top w:w="180" w:type="dxa"/>
              <w:left w:w="100" w:type="dxa"/>
              <w:bottom w:w="60" w:type="dxa"/>
              <w:right w:w="100" w:type="dxa"/>
            </w:tcMar>
          </w:tcPr>
          <w:p w14:paraId="3D4A86F7" w14:textId="77777777" w:rsidR="004C28A3" w:rsidRDefault="00000000">
            <w:pPr>
              <w:jc w:val="center"/>
            </w:pPr>
            <w:r>
              <w:rPr>
                <w:b/>
                <w:bCs/>
                <w:color w:val="FFFFFF"/>
                <w:sz w:val="34"/>
                <w:szCs w:val="34"/>
              </w:rPr>
              <w:t>12.26%</w:t>
            </w:r>
          </w:p>
        </w:tc>
      </w:tr>
      <w:tr w:rsidR="004C28A3" w14:paraId="772872C7" w14:textId="77777777" w:rsidTr="007F2DE8">
        <w:tblPrEx>
          <w:tblCellMar>
            <w:top w:w="0" w:type="dxa"/>
            <w:bottom w:w="0" w:type="dxa"/>
          </w:tblCellMar>
        </w:tblPrEx>
        <w:trPr>
          <w:trHeight w:val="564"/>
        </w:trPr>
        <w:tc>
          <w:tcPr>
            <w:tcW w:w="2602" w:type="dxa"/>
            <w:shd w:val="clear" w:color="auto" w:fill="13294B"/>
            <w:tcMar>
              <w:top w:w="0" w:type="dxa"/>
              <w:left w:w="100" w:type="dxa"/>
              <w:bottom w:w="180" w:type="dxa"/>
              <w:right w:w="100" w:type="dxa"/>
            </w:tcMar>
          </w:tcPr>
          <w:p w14:paraId="36230BCA" w14:textId="77777777" w:rsidR="000E3B22" w:rsidRPr="000E3B22" w:rsidRDefault="000E3B22">
            <w:pPr>
              <w:jc w:val="center"/>
              <w:rPr>
                <w:b/>
                <w:bCs/>
                <w:color w:val="D9E2F3"/>
                <w:sz w:val="18"/>
                <w:szCs w:val="18"/>
              </w:rPr>
            </w:pPr>
          </w:p>
          <w:p w14:paraId="012335DA" w14:textId="247BA2D8" w:rsidR="004C28A3" w:rsidRPr="000E3B22" w:rsidRDefault="00000000">
            <w:pPr>
              <w:jc w:val="center"/>
              <w:rPr>
                <w:b/>
                <w:bCs/>
              </w:rPr>
            </w:pPr>
            <w:r w:rsidRPr="000E3B22">
              <w:rPr>
                <w:b/>
                <w:bCs/>
                <w:color w:val="D9E2F3"/>
                <w:sz w:val="18"/>
                <w:szCs w:val="18"/>
              </w:rPr>
              <w:t>Total Loans</w:t>
            </w:r>
          </w:p>
        </w:tc>
        <w:tc>
          <w:tcPr>
            <w:tcW w:w="2602" w:type="dxa"/>
            <w:shd w:val="clear" w:color="auto" w:fill="13294B"/>
            <w:tcMar>
              <w:top w:w="0" w:type="dxa"/>
              <w:left w:w="100" w:type="dxa"/>
              <w:bottom w:w="180" w:type="dxa"/>
              <w:right w:w="100" w:type="dxa"/>
            </w:tcMar>
          </w:tcPr>
          <w:p w14:paraId="75E54369" w14:textId="77777777" w:rsidR="000E3B22" w:rsidRPr="000E3B22" w:rsidRDefault="000E3B22">
            <w:pPr>
              <w:jc w:val="center"/>
              <w:rPr>
                <w:b/>
                <w:bCs/>
                <w:color w:val="D9E2F3"/>
                <w:sz w:val="18"/>
                <w:szCs w:val="18"/>
              </w:rPr>
            </w:pPr>
          </w:p>
          <w:p w14:paraId="3ED5B028" w14:textId="79881D9F" w:rsidR="004C28A3" w:rsidRPr="000E3B22" w:rsidRDefault="00000000">
            <w:pPr>
              <w:jc w:val="center"/>
              <w:rPr>
                <w:b/>
                <w:bCs/>
              </w:rPr>
            </w:pPr>
            <w:r w:rsidRPr="000E3B22">
              <w:rPr>
                <w:b/>
                <w:bCs/>
                <w:color w:val="D9E2F3"/>
                <w:sz w:val="18"/>
                <w:szCs w:val="18"/>
              </w:rPr>
              <w:t>Overall Default Rate</w:t>
            </w:r>
          </w:p>
        </w:tc>
        <w:tc>
          <w:tcPr>
            <w:tcW w:w="2603" w:type="dxa"/>
            <w:shd w:val="clear" w:color="auto" w:fill="13294B"/>
            <w:tcMar>
              <w:top w:w="0" w:type="dxa"/>
              <w:left w:w="100" w:type="dxa"/>
              <w:bottom w:w="180" w:type="dxa"/>
              <w:right w:w="100" w:type="dxa"/>
            </w:tcMar>
          </w:tcPr>
          <w:p w14:paraId="081098E9" w14:textId="77777777" w:rsidR="000E3B22" w:rsidRDefault="000E3B22">
            <w:pPr>
              <w:jc w:val="center"/>
              <w:rPr>
                <w:color w:val="D9E2F3"/>
                <w:sz w:val="18"/>
                <w:szCs w:val="18"/>
              </w:rPr>
            </w:pPr>
          </w:p>
          <w:p w14:paraId="26D3BEB5" w14:textId="77580DA6" w:rsidR="004C28A3" w:rsidRPr="000E3B22" w:rsidRDefault="00000000">
            <w:pPr>
              <w:jc w:val="center"/>
              <w:rPr>
                <w:b/>
                <w:bCs/>
              </w:rPr>
            </w:pPr>
            <w:r w:rsidRPr="000E3B22">
              <w:rPr>
                <w:b/>
                <w:bCs/>
                <w:color w:val="D9E2F3"/>
                <w:sz w:val="18"/>
                <w:szCs w:val="18"/>
              </w:rPr>
              <w:t>Avg. FICO Score</w:t>
            </w:r>
          </w:p>
        </w:tc>
        <w:tc>
          <w:tcPr>
            <w:tcW w:w="2603" w:type="dxa"/>
            <w:shd w:val="clear" w:color="auto" w:fill="13294B"/>
            <w:tcMar>
              <w:top w:w="0" w:type="dxa"/>
              <w:left w:w="100" w:type="dxa"/>
              <w:bottom w:w="180" w:type="dxa"/>
              <w:right w:w="100" w:type="dxa"/>
            </w:tcMar>
          </w:tcPr>
          <w:p w14:paraId="0BFF9EB1" w14:textId="77777777" w:rsidR="000E3B22" w:rsidRDefault="000E3B22">
            <w:pPr>
              <w:jc w:val="center"/>
              <w:rPr>
                <w:color w:val="D9E2F3"/>
                <w:sz w:val="18"/>
                <w:szCs w:val="18"/>
              </w:rPr>
            </w:pPr>
          </w:p>
          <w:p w14:paraId="2447F255" w14:textId="7FC6E301" w:rsidR="004C28A3" w:rsidRPr="000E3B22" w:rsidRDefault="00000000">
            <w:pPr>
              <w:jc w:val="center"/>
              <w:rPr>
                <w:b/>
                <w:bCs/>
              </w:rPr>
            </w:pPr>
            <w:r w:rsidRPr="000E3B22">
              <w:rPr>
                <w:b/>
                <w:bCs/>
                <w:color w:val="D9E2F3"/>
                <w:sz w:val="18"/>
                <w:szCs w:val="18"/>
              </w:rPr>
              <w:t>Avg. Interest Rate</w:t>
            </w:r>
          </w:p>
        </w:tc>
      </w:tr>
    </w:tbl>
    <w:p w14:paraId="0725A2C1" w14:textId="77777777" w:rsidR="004C28A3" w:rsidRDefault="004C28A3">
      <w:pPr>
        <w:spacing w:after="250"/>
      </w:pPr>
    </w:p>
    <w:p w14:paraId="49E17D7C" w14:textId="77777777" w:rsidR="004C28A3" w:rsidRDefault="00000000">
      <w:pPr>
        <w:pStyle w:val="Heading2"/>
        <w:spacing w:before="240" w:after="120"/>
      </w:pPr>
      <w:r>
        <w:rPr>
          <w:b/>
          <w:bCs/>
          <w:color w:val="1F3864"/>
          <w:sz w:val="24"/>
          <w:szCs w:val="24"/>
        </w:rPr>
        <w:t>2. Dashboard Overview</w:t>
      </w:r>
    </w:p>
    <w:p w14:paraId="3F8BB9E8" w14:textId="3182FBB8" w:rsidR="000E3B22" w:rsidRPr="000E3B22" w:rsidRDefault="00000000" w:rsidP="000E3B22">
      <w:pPr>
        <w:spacing w:after="140" w:line="300" w:lineRule="auto"/>
        <w:jc w:val="both"/>
        <w:rPr>
          <w:color w:val="262626"/>
          <w:sz w:val="22"/>
          <w:szCs w:val="22"/>
        </w:rPr>
      </w:pPr>
      <w:r w:rsidRPr="000E3B22">
        <w:rPr>
          <w:color w:val="262626"/>
          <w:sz w:val="22"/>
          <w:szCs w:val="22"/>
        </w:rPr>
        <w:t>To</w:t>
      </w:r>
      <w:r w:rsidR="000E3B22" w:rsidRPr="000E3B22">
        <w:rPr>
          <w:color w:val="262626"/>
          <w:sz w:val="22"/>
          <w:szCs w:val="22"/>
        </w:rPr>
        <w:t xml:space="preserve"> present the analysis in a clear and interactive format, the data was consolidated into a single dashboard that summarizes the portfolio from both a high-level and detailed perspective. The dashboard combines key performance indicators (KPIs), interactive filters, and multiple visualizations covering </w:t>
      </w:r>
      <w:r w:rsidR="000E3B22" w:rsidRPr="000E3B22">
        <w:rPr>
          <w:b/>
          <w:bCs/>
          <w:color w:val="262626"/>
          <w:sz w:val="22"/>
          <w:szCs w:val="22"/>
        </w:rPr>
        <w:t>loan purpose, FICO score bands, debt-to-income (DTI) bands, revolving credit utilization, recent credit inquiries, and credit policy status</w:t>
      </w:r>
      <w:r w:rsidR="000E3B22" w:rsidRPr="000E3B22">
        <w:rPr>
          <w:color w:val="262626"/>
          <w:sz w:val="22"/>
          <w:szCs w:val="22"/>
        </w:rPr>
        <w:t>. This layout enables users to quickly understand the overall portfolio while exploring the factors that contribute to loan default.</w:t>
      </w:r>
    </w:p>
    <w:p w14:paraId="6E67DEBB" w14:textId="77777777" w:rsidR="000E3B22" w:rsidRPr="000E3B22" w:rsidRDefault="000E3B22" w:rsidP="000E3B22">
      <w:pPr>
        <w:spacing w:after="140" w:line="300" w:lineRule="auto"/>
        <w:jc w:val="both"/>
        <w:rPr>
          <w:color w:val="262626"/>
          <w:sz w:val="22"/>
          <w:szCs w:val="22"/>
        </w:rPr>
      </w:pPr>
      <w:r w:rsidRPr="000E3B22">
        <w:rPr>
          <w:color w:val="262626"/>
          <w:sz w:val="22"/>
          <w:szCs w:val="22"/>
        </w:rPr>
        <w:t>The interactive filters allow users to focus on specific borrower segments and compare their performance across different risk dimensions. By moving from the overall portfolio view to detailed visualizations, lenders can identify high-risk groups, evaluate default patterns, and make more informed decisions regarding underwriting, risk-based pricing, and portfolio monitoring. The dashboard therefore serves as an effective decision-support tool for understanding borrower behaviour and improving credit risk management.</w:t>
      </w:r>
    </w:p>
    <w:p w14:paraId="6A97E0CD" w14:textId="21D8A9E4" w:rsidR="004C28A3" w:rsidRDefault="004C28A3" w:rsidP="000E3B22">
      <w:pPr>
        <w:spacing w:after="140" w:line="300" w:lineRule="auto"/>
        <w:jc w:val="both"/>
      </w:pPr>
    </w:p>
    <w:p w14:paraId="154CA007" w14:textId="77777777" w:rsidR="004C28A3" w:rsidRDefault="004C28A3">
      <w:pPr>
        <w:spacing w:after="250"/>
      </w:pPr>
    </w:p>
    <w:p w14:paraId="37A3DFCB" w14:textId="77777777" w:rsidR="004C28A3" w:rsidRDefault="00000000">
      <w:pPr>
        <w:pStyle w:val="Heading2"/>
        <w:spacing w:before="240" w:after="120"/>
      </w:pPr>
      <w:r>
        <w:rPr>
          <w:b/>
          <w:bCs/>
          <w:color w:val="1F3864"/>
          <w:sz w:val="24"/>
          <w:szCs w:val="24"/>
        </w:rPr>
        <w:lastRenderedPageBreak/>
        <w:t>3. Default Rate by Loan Purpose</w:t>
      </w:r>
    </w:p>
    <w:p w14:paraId="5EBA91E4" w14:textId="532DF62C" w:rsidR="007F2DE8" w:rsidRPr="007F2DE8" w:rsidRDefault="00000000" w:rsidP="007F2DE8">
      <w:pPr>
        <w:spacing w:after="140" w:line="300" w:lineRule="auto"/>
        <w:jc w:val="both"/>
        <w:rPr>
          <w:color w:val="262626"/>
          <w:sz w:val="22"/>
          <w:szCs w:val="22"/>
        </w:rPr>
      </w:pPr>
      <w:r w:rsidRPr="007F2DE8">
        <w:rPr>
          <w:color w:val="262626"/>
          <w:sz w:val="22"/>
          <w:szCs w:val="22"/>
        </w:rPr>
        <w:t>Loan</w:t>
      </w:r>
      <w:r w:rsidR="007F2DE8">
        <w:rPr>
          <w:color w:val="262626"/>
          <w:sz w:val="22"/>
          <w:szCs w:val="22"/>
        </w:rPr>
        <w:t xml:space="preserve"> </w:t>
      </w:r>
      <w:r w:rsidR="007F2DE8" w:rsidRPr="007F2DE8">
        <w:rPr>
          <w:color w:val="262626"/>
          <w:sz w:val="22"/>
          <w:szCs w:val="22"/>
        </w:rPr>
        <w:t xml:space="preserve">purpose is one of the most significant factors influencing default risk in this portfolio. Default rates vary considerably across loan categories, ranging from </w:t>
      </w:r>
      <w:r w:rsidR="007F2DE8" w:rsidRPr="007F2DE8">
        <w:rPr>
          <w:b/>
          <w:bCs/>
          <w:color w:val="262626"/>
          <w:sz w:val="22"/>
          <w:szCs w:val="22"/>
        </w:rPr>
        <w:t>11.21% for major purchase loans</w:t>
      </w:r>
      <w:r w:rsidR="007F2DE8" w:rsidRPr="007F2DE8">
        <w:rPr>
          <w:color w:val="262626"/>
          <w:sz w:val="22"/>
          <w:szCs w:val="22"/>
        </w:rPr>
        <w:t xml:space="preserve"> to </w:t>
      </w:r>
      <w:r w:rsidR="007F2DE8" w:rsidRPr="007F2DE8">
        <w:rPr>
          <w:b/>
          <w:bCs/>
          <w:color w:val="262626"/>
          <w:sz w:val="22"/>
          <w:szCs w:val="22"/>
        </w:rPr>
        <w:t>27.79% for small business loans</w:t>
      </w:r>
      <w:r w:rsidR="007F2DE8" w:rsidRPr="007F2DE8">
        <w:rPr>
          <w:color w:val="262626"/>
          <w:sz w:val="22"/>
          <w:szCs w:val="22"/>
        </w:rPr>
        <w:t xml:space="preserve">, making small business lending the highest-risk segment. Educational loans also record a relatively high default rate of </w:t>
      </w:r>
      <w:r w:rsidR="007F2DE8" w:rsidRPr="007F2DE8">
        <w:rPr>
          <w:b/>
          <w:bCs/>
          <w:color w:val="262626"/>
          <w:sz w:val="22"/>
          <w:szCs w:val="22"/>
        </w:rPr>
        <w:t>20.12%</w:t>
      </w:r>
      <w:r w:rsidR="007F2DE8" w:rsidRPr="007F2DE8">
        <w:rPr>
          <w:color w:val="262626"/>
          <w:sz w:val="22"/>
          <w:szCs w:val="22"/>
        </w:rPr>
        <w:t>, suggesting that borrowers in these categories are more likely to experience repayment difficulties than the average borrower.</w:t>
      </w:r>
    </w:p>
    <w:p w14:paraId="367BD3C3" w14:textId="77777777" w:rsidR="007F2DE8" w:rsidRPr="007F2DE8" w:rsidRDefault="007F2DE8" w:rsidP="007F2DE8">
      <w:pPr>
        <w:spacing w:after="140" w:line="300" w:lineRule="auto"/>
        <w:jc w:val="both"/>
        <w:rPr>
          <w:color w:val="262626"/>
          <w:sz w:val="22"/>
          <w:szCs w:val="22"/>
        </w:rPr>
      </w:pPr>
      <w:r w:rsidRPr="007F2DE8">
        <w:rPr>
          <w:color w:val="262626"/>
          <w:sz w:val="22"/>
          <w:szCs w:val="22"/>
        </w:rPr>
        <w:t xml:space="preserve">On the other hand, </w:t>
      </w:r>
      <w:r w:rsidRPr="007F2DE8">
        <w:rPr>
          <w:b/>
          <w:bCs/>
          <w:color w:val="262626"/>
          <w:sz w:val="22"/>
          <w:szCs w:val="22"/>
        </w:rPr>
        <w:t>major purchase</w:t>
      </w:r>
      <w:r w:rsidRPr="007F2DE8">
        <w:rPr>
          <w:color w:val="262626"/>
          <w:sz w:val="22"/>
          <w:szCs w:val="22"/>
        </w:rPr>
        <w:t xml:space="preserve"> and </w:t>
      </w:r>
      <w:r w:rsidRPr="007F2DE8">
        <w:rPr>
          <w:b/>
          <w:bCs/>
          <w:color w:val="262626"/>
          <w:sz w:val="22"/>
          <w:szCs w:val="22"/>
        </w:rPr>
        <w:t>credit card</w:t>
      </w:r>
      <w:r w:rsidRPr="007F2DE8">
        <w:rPr>
          <w:color w:val="262626"/>
          <w:sz w:val="22"/>
          <w:szCs w:val="22"/>
        </w:rPr>
        <w:t xml:space="preserve"> loans have the lowest default rates, remaining well below the overall portfolio average of </w:t>
      </w:r>
      <w:r w:rsidRPr="007F2DE8">
        <w:rPr>
          <w:b/>
          <w:bCs/>
          <w:color w:val="262626"/>
          <w:sz w:val="22"/>
          <w:szCs w:val="22"/>
        </w:rPr>
        <w:t>16.01%</w:t>
      </w:r>
      <w:r w:rsidRPr="007F2DE8">
        <w:rPr>
          <w:color w:val="262626"/>
          <w:sz w:val="22"/>
          <w:szCs w:val="22"/>
        </w:rPr>
        <w:t xml:space="preserve">. Loan categories such as </w:t>
      </w:r>
      <w:r w:rsidRPr="007F2DE8">
        <w:rPr>
          <w:b/>
          <w:bCs/>
          <w:color w:val="262626"/>
          <w:sz w:val="22"/>
          <w:szCs w:val="22"/>
        </w:rPr>
        <w:t>debt consolidation, home improvement, and other purposes</w:t>
      </w:r>
      <w:r w:rsidRPr="007F2DE8">
        <w:rPr>
          <w:color w:val="262626"/>
          <w:sz w:val="22"/>
          <w:szCs w:val="22"/>
        </w:rPr>
        <w:t xml:space="preserve"> fall closer to the portfolio average, representing moderate levels of risk. These findings demonstrate that loan purpose is an effective indicator of borrower risk and should be considered when designing </w:t>
      </w:r>
      <w:r w:rsidRPr="007F2DE8">
        <w:rPr>
          <w:b/>
          <w:bCs/>
          <w:color w:val="262626"/>
          <w:sz w:val="22"/>
          <w:szCs w:val="22"/>
        </w:rPr>
        <w:t>underwriting policies, risk-based pricing strategies, and portfolio monitoring practices</w:t>
      </w:r>
      <w:r w:rsidRPr="007F2DE8">
        <w:rPr>
          <w:color w:val="262626"/>
          <w:sz w:val="22"/>
          <w:szCs w:val="22"/>
        </w:rPr>
        <w:t xml:space="preserve"> to improve lending decisions and reduce future credit losses.</w:t>
      </w:r>
    </w:p>
    <w:tbl>
      <w:tblPr>
        <w:tblW w:w="10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7"/>
        <w:gridCol w:w="5267"/>
      </w:tblGrid>
      <w:tr w:rsidR="004C28A3" w14:paraId="67CC1CC8" w14:textId="77777777" w:rsidTr="007F2DE8">
        <w:tblPrEx>
          <w:tblCellMar>
            <w:top w:w="0" w:type="dxa"/>
            <w:bottom w:w="0" w:type="dxa"/>
          </w:tblCellMar>
        </w:tblPrEx>
        <w:trPr>
          <w:trHeight w:val="263"/>
          <w:tblHeader/>
        </w:trPr>
        <w:tc>
          <w:tcPr>
            <w:tcW w:w="5267" w:type="dxa"/>
            <w:shd w:val="clear" w:color="auto" w:fill="1F3864"/>
            <w:tcMar>
              <w:top w:w="100" w:type="dxa"/>
              <w:left w:w="120" w:type="dxa"/>
              <w:bottom w:w="100" w:type="dxa"/>
              <w:right w:w="120" w:type="dxa"/>
            </w:tcMar>
            <w:vAlign w:val="center"/>
          </w:tcPr>
          <w:p w14:paraId="499E9317" w14:textId="77777777" w:rsidR="004C28A3" w:rsidRDefault="00000000">
            <w:r>
              <w:rPr>
                <w:b/>
                <w:bCs/>
                <w:color w:val="FFFFFF"/>
              </w:rPr>
              <w:t>Purpose</w:t>
            </w:r>
          </w:p>
        </w:tc>
        <w:tc>
          <w:tcPr>
            <w:tcW w:w="5267" w:type="dxa"/>
            <w:shd w:val="clear" w:color="auto" w:fill="1F3864"/>
            <w:tcMar>
              <w:top w:w="100" w:type="dxa"/>
              <w:left w:w="120" w:type="dxa"/>
              <w:bottom w:w="100" w:type="dxa"/>
              <w:right w:w="120" w:type="dxa"/>
            </w:tcMar>
            <w:vAlign w:val="center"/>
          </w:tcPr>
          <w:p w14:paraId="637DAFBF" w14:textId="77777777" w:rsidR="004C28A3" w:rsidRDefault="00000000">
            <w:pPr>
              <w:jc w:val="center"/>
            </w:pPr>
            <w:r>
              <w:rPr>
                <w:b/>
                <w:bCs/>
                <w:color w:val="FFFFFF"/>
              </w:rPr>
              <w:t>Default Rate</w:t>
            </w:r>
          </w:p>
        </w:tc>
      </w:tr>
      <w:tr w:rsidR="004C28A3" w14:paraId="6B66058B" w14:textId="77777777" w:rsidTr="007F2DE8">
        <w:tblPrEx>
          <w:tblCellMar>
            <w:top w:w="0" w:type="dxa"/>
            <w:bottom w:w="0" w:type="dxa"/>
          </w:tblCellMar>
        </w:tblPrEx>
        <w:trPr>
          <w:trHeight w:val="263"/>
        </w:trPr>
        <w:tc>
          <w:tcPr>
            <w:tcW w:w="5267" w:type="dxa"/>
            <w:shd w:val="clear" w:color="auto" w:fill="F2F5FB"/>
            <w:tcMar>
              <w:top w:w="100" w:type="dxa"/>
              <w:left w:w="120" w:type="dxa"/>
              <w:bottom w:w="100" w:type="dxa"/>
              <w:right w:w="120" w:type="dxa"/>
            </w:tcMar>
            <w:vAlign w:val="center"/>
          </w:tcPr>
          <w:p w14:paraId="1C79222A" w14:textId="77777777" w:rsidR="004C28A3" w:rsidRDefault="00000000">
            <w:r>
              <w:rPr>
                <w:color w:val="262626"/>
              </w:rPr>
              <w:t>Small Business</w:t>
            </w:r>
          </w:p>
        </w:tc>
        <w:tc>
          <w:tcPr>
            <w:tcW w:w="5267" w:type="dxa"/>
            <w:shd w:val="clear" w:color="auto" w:fill="F2F5FB"/>
            <w:tcMar>
              <w:top w:w="100" w:type="dxa"/>
              <w:left w:w="120" w:type="dxa"/>
              <w:bottom w:w="100" w:type="dxa"/>
              <w:right w:w="120" w:type="dxa"/>
            </w:tcMar>
            <w:vAlign w:val="center"/>
          </w:tcPr>
          <w:p w14:paraId="6E20623F" w14:textId="77777777" w:rsidR="004C28A3" w:rsidRDefault="00000000">
            <w:pPr>
              <w:jc w:val="center"/>
            </w:pPr>
            <w:r>
              <w:rPr>
                <w:color w:val="262626"/>
              </w:rPr>
              <w:t>27.79%</w:t>
            </w:r>
          </w:p>
        </w:tc>
      </w:tr>
      <w:tr w:rsidR="004C28A3" w14:paraId="5A0485CE" w14:textId="77777777" w:rsidTr="007F2DE8">
        <w:tblPrEx>
          <w:tblCellMar>
            <w:top w:w="0" w:type="dxa"/>
            <w:bottom w:w="0" w:type="dxa"/>
          </w:tblCellMar>
        </w:tblPrEx>
        <w:trPr>
          <w:trHeight w:val="263"/>
        </w:trPr>
        <w:tc>
          <w:tcPr>
            <w:tcW w:w="5267" w:type="dxa"/>
            <w:shd w:val="clear" w:color="auto" w:fill="FFFFFF"/>
            <w:tcMar>
              <w:top w:w="100" w:type="dxa"/>
              <w:left w:w="120" w:type="dxa"/>
              <w:bottom w:w="100" w:type="dxa"/>
              <w:right w:w="120" w:type="dxa"/>
            </w:tcMar>
            <w:vAlign w:val="center"/>
          </w:tcPr>
          <w:p w14:paraId="43EF8CAC" w14:textId="77777777" w:rsidR="004C28A3" w:rsidRDefault="00000000">
            <w:r>
              <w:rPr>
                <w:color w:val="262626"/>
              </w:rPr>
              <w:t>Educational</w:t>
            </w:r>
          </w:p>
        </w:tc>
        <w:tc>
          <w:tcPr>
            <w:tcW w:w="5267" w:type="dxa"/>
            <w:shd w:val="clear" w:color="auto" w:fill="FFFFFF"/>
            <w:tcMar>
              <w:top w:w="100" w:type="dxa"/>
              <w:left w:w="120" w:type="dxa"/>
              <w:bottom w:w="100" w:type="dxa"/>
              <w:right w:w="120" w:type="dxa"/>
            </w:tcMar>
            <w:vAlign w:val="center"/>
          </w:tcPr>
          <w:p w14:paraId="57F480F8" w14:textId="77777777" w:rsidR="004C28A3" w:rsidRDefault="00000000">
            <w:pPr>
              <w:jc w:val="center"/>
            </w:pPr>
            <w:r>
              <w:rPr>
                <w:color w:val="262626"/>
              </w:rPr>
              <w:t>20.12%</w:t>
            </w:r>
          </w:p>
        </w:tc>
      </w:tr>
      <w:tr w:rsidR="004C28A3" w14:paraId="63C75C7C" w14:textId="77777777" w:rsidTr="007F2DE8">
        <w:tblPrEx>
          <w:tblCellMar>
            <w:top w:w="0" w:type="dxa"/>
            <w:bottom w:w="0" w:type="dxa"/>
          </w:tblCellMar>
        </w:tblPrEx>
        <w:trPr>
          <w:trHeight w:val="251"/>
        </w:trPr>
        <w:tc>
          <w:tcPr>
            <w:tcW w:w="5267" w:type="dxa"/>
            <w:shd w:val="clear" w:color="auto" w:fill="F2F5FB"/>
            <w:tcMar>
              <w:top w:w="100" w:type="dxa"/>
              <w:left w:w="120" w:type="dxa"/>
              <w:bottom w:w="100" w:type="dxa"/>
              <w:right w:w="120" w:type="dxa"/>
            </w:tcMar>
            <w:vAlign w:val="center"/>
          </w:tcPr>
          <w:p w14:paraId="7A8E1642" w14:textId="77777777" w:rsidR="004C28A3" w:rsidRDefault="00000000">
            <w:r>
              <w:rPr>
                <w:color w:val="262626"/>
              </w:rPr>
              <w:t>Home Improvement</w:t>
            </w:r>
          </w:p>
        </w:tc>
        <w:tc>
          <w:tcPr>
            <w:tcW w:w="5267" w:type="dxa"/>
            <w:shd w:val="clear" w:color="auto" w:fill="F2F5FB"/>
            <w:tcMar>
              <w:top w:w="100" w:type="dxa"/>
              <w:left w:w="120" w:type="dxa"/>
              <w:bottom w:w="100" w:type="dxa"/>
              <w:right w:w="120" w:type="dxa"/>
            </w:tcMar>
            <w:vAlign w:val="center"/>
          </w:tcPr>
          <w:p w14:paraId="37F8EDCB" w14:textId="77777777" w:rsidR="004C28A3" w:rsidRDefault="00000000">
            <w:pPr>
              <w:jc w:val="center"/>
            </w:pPr>
            <w:r>
              <w:rPr>
                <w:color w:val="262626"/>
              </w:rPr>
              <w:t>17.01%</w:t>
            </w:r>
          </w:p>
        </w:tc>
      </w:tr>
      <w:tr w:rsidR="004C28A3" w14:paraId="2C407EEE" w14:textId="77777777" w:rsidTr="007F2DE8">
        <w:tblPrEx>
          <w:tblCellMar>
            <w:top w:w="0" w:type="dxa"/>
            <w:bottom w:w="0" w:type="dxa"/>
          </w:tblCellMar>
        </w:tblPrEx>
        <w:trPr>
          <w:trHeight w:val="263"/>
        </w:trPr>
        <w:tc>
          <w:tcPr>
            <w:tcW w:w="5267" w:type="dxa"/>
            <w:shd w:val="clear" w:color="auto" w:fill="FFFFFF"/>
            <w:tcMar>
              <w:top w:w="100" w:type="dxa"/>
              <w:left w:w="120" w:type="dxa"/>
              <w:bottom w:w="100" w:type="dxa"/>
              <w:right w:w="120" w:type="dxa"/>
            </w:tcMar>
            <w:vAlign w:val="center"/>
          </w:tcPr>
          <w:p w14:paraId="7233F5C8" w14:textId="77777777" w:rsidR="004C28A3" w:rsidRDefault="00000000">
            <w:r>
              <w:rPr>
                <w:color w:val="262626"/>
              </w:rPr>
              <w:t>All Other</w:t>
            </w:r>
          </w:p>
        </w:tc>
        <w:tc>
          <w:tcPr>
            <w:tcW w:w="5267" w:type="dxa"/>
            <w:shd w:val="clear" w:color="auto" w:fill="FFFFFF"/>
            <w:tcMar>
              <w:top w:w="100" w:type="dxa"/>
              <w:left w:w="120" w:type="dxa"/>
              <w:bottom w:w="100" w:type="dxa"/>
              <w:right w:w="120" w:type="dxa"/>
            </w:tcMar>
            <w:vAlign w:val="center"/>
          </w:tcPr>
          <w:p w14:paraId="4E68F9B5" w14:textId="77777777" w:rsidR="004C28A3" w:rsidRDefault="00000000">
            <w:pPr>
              <w:jc w:val="center"/>
            </w:pPr>
            <w:r>
              <w:rPr>
                <w:color w:val="262626"/>
              </w:rPr>
              <w:t>16.60%</w:t>
            </w:r>
          </w:p>
        </w:tc>
      </w:tr>
      <w:tr w:rsidR="004C28A3" w14:paraId="201A70C6" w14:textId="77777777" w:rsidTr="007F2DE8">
        <w:tblPrEx>
          <w:tblCellMar>
            <w:top w:w="0" w:type="dxa"/>
            <w:bottom w:w="0" w:type="dxa"/>
          </w:tblCellMar>
        </w:tblPrEx>
        <w:trPr>
          <w:trHeight w:val="263"/>
        </w:trPr>
        <w:tc>
          <w:tcPr>
            <w:tcW w:w="5267" w:type="dxa"/>
            <w:shd w:val="clear" w:color="auto" w:fill="F2F5FB"/>
            <w:tcMar>
              <w:top w:w="100" w:type="dxa"/>
              <w:left w:w="120" w:type="dxa"/>
              <w:bottom w:w="100" w:type="dxa"/>
              <w:right w:w="120" w:type="dxa"/>
            </w:tcMar>
            <w:vAlign w:val="center"/>
          </w:tcPr>
          <w:p w14:paraId="415232B3" w14:textId="77777777" w:rsidR="004C28A3" w:rsidRDefault="00000000">
            <w:r>
              <w:rPr>
                <w:color w:val="262626"/>
              </w:rPr>
              <w:t>Debt Consolidation</w:t>
            </w:r>
          </w:p>
        </w:tc>
        <w:tc>
          <w:tcPr>
            <w:tcW w:w="5267" w:type="dxa"/>
            <w:shd w:val="clear" w:color="auto" w:fill="F2F5FB"/>
            <w:tcMar>
              <w:top w:w="100" w:type="dxa"/>
              <w:left w:w="120" w:type="dxa"/>
              <w:bottom w:w="100" w:type="dxa"/>
              <w:right w:w="120" w:type="dxa"/>
            </w:tcMar>
            <w:vAlign w:val="center"/>
          </w:tcPr>
          <w:p w14:paraId="096FC663" w14:textId="77777777" w:rsidR="004C28A3" w:rsidRDefault="00000000">
            <w:pPr>
              <w:jc w:val="center"/>
            </w:pPr>
            <w:r>
              <w:rPr>
                <w:color w:val="262626"/>
              </w:rPr>
              <w:t>15.24%</w:t>
            </w:r>
          </w:p>
        </w:tc>
      </w:tr>
      <w:tr w:rsidR="004C28A3" w14:paraId="3C9CF6C3" w14:textId="77777777" w:rsidTr="007F2DE8">
        <w:tblPrEx>
          <w:tblCellMar>
            <w:top w:w="0" w:type="dxa"/>
            <w:bottom w:w="0" w:type="dxa"/>
          </w:tblCellMar>
        </w:tblPrEx>
        <w:trPr>
          <w:trHeight w:val="263"/>
        </w:trPr>
        <w:tc>
          <w:tcPr>
            <w:tcW w:w="5267" w:type="dxa"/>
            <w:shd w:val="clear" w:color="auto" w:fill="FFFFFF"/>
            <w:tcMar>
              <w:top w:w="100" w:type="dxa"/>
              <w:left w:w="120" w:type="dxa"/>
              <w:bottom w:w="100" w:type="dxa"/>
              <w:right w:w="120" w:type="dxa"/>
            </w:tcMar>
            <w:vAlign w:val="center"/>
          </w:tcPr>
          <w:p w14:paraId="3165273C" w14:textId="77777777" w:rsidR="004C28A3" w:rsidRDefault="00000000">
            <w:r>
              <w:rPr>
                <w:color w:val="262626"/>
              </w:rPr>
              <w:t>Credit Card</w:t>
            </w:r>
          </w:p>
        </w:tc>
        <w:tc>
          <w:tcPr>
            <w:tcW w:w="5267" w:type="dxa"/>
            <w:shd w:val="clear" w:color="auto" w:fill="FFFFFF"/>
            <w:tcMar>
              <w:top w:w="100" w:type="dxa"/>
              <w:left w:w="120" w:type="dxa"/>
              <w:bottom w:w="100" w:type="dxa"/>
              <w:right w:w="120" w:type="dxa"/>
            </w:tcMar>
            <w:vAlign w:val="center"/>
          </w:tcPr>
          <w:p w14:paraId="109EF155" w14:textId="77777777" w:rsidR="004C28A3" w:rsidRDefault="00000000">
            <w:pPr>
              <w:jc w:val="center"/>
            </w:pPr>
            <w:r>
              <w:rPr>
                <w:color w:val="262626"/>
              </w:rPr>
              <w:t>11.57%</w:t>
            </w:r>
          </w:p>
        </w:tc>
      </w:tr>
      <w:tr w:rsidR="004C28A3" w14:paraId="1EF2B49C" w14:textId="77777777" w:rsidTr="007F2DE8">
        <w:tblPrEx>
          <w:tblCellMar>
            <w:top w:w="0" w:type="dxa"/>
            <w:bottom w:w="0" w:type="dxa"/>
          </w:tblCellMar>
        </w:tblPrEx>
        <w:trPr>
          <w:trHeight w:val="263"/>
        </w:trPr>
        <w:tc>
          <w:tcPr>
            <w:tcW w:w="5267" w:type="dxa"/>
            <w:shd w:val="clear" w:color="auto" w:fill="F2F5FB"/>
            <w:tcMar>
              <w:top w:w="100" w:type="dxa"/>
              <w:left w:w="120" w:type="dxa"/>
              <w:bottom w:w="100" w:type="dxa"/>
              <w:right w:w="120" w:type="dxa"/>
            </w:tcMar>
            <w:vAlign w:val="center"/>
          </w:tcPr>
          <w:p w14:paraId="6CB3691C" w14:textId="77777777" w:rsidR="004C28A3" w:rsidRDefault="00000000">
            <w:r>
              <w:rPr>
                <w:color w:val="262626"/>
              </w:rPr>
              <w:t>Major Purchase</w:t>
            </w:r>
          </w:p>
        </w:tc>
        <w:tc>
          <w:tcPr>
            <w:tcW w:w="5267" w:type="dxa"/>
            <w:shd w:val="clear" w:color="auto" w:fill="F2F5FB"/>
            <w:tcMar>
              <w:top w:w="100" w:type="dxa"/>
              <w:left w:w="120" w:type="dxa"/>
              <w:bottom w:w="100" w:type="dxa"/>
              <w:right w:w="120" w:type="dxa"/>
            </w:tcMar>
            <w:vAlign w:val="center"/>
          </w:tcPr>
          <w:p w14:paraId="39D441F2" w14:textId="77777777" w:rsidR="004C28A3" w:rsidRDefault="00000000">
            <w:pPr>
              <w:jc w:val="center"/>
            </w:pPr>
            <w:r>
              <w:rPr>
                <w:color w:val="262626"/>
              </w:rPr>
              <w:t>11.21%</w:t>
            </w:r>
          </w:p>
        </w:tc>
      </w:tr>
    </w:tbl>
    <w:p w14:paraId="60079A63" w14:textId="77777777" w:rsidR="004C28A3" w:rsidRDefault="004C28A3">
      <w:pPr>
        <w:spacing w:after="200"/>
      </w:pPr>
    </w:p>
    <w:tbl>
      <w:tblPr>
        <w:tblW w:w="10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40"/>
      </w:tblGrid>
      <w:tr w:rsidR="004C28A3" w14:paraId="3EBD7102" w14:textId="77777777" w:rsidTr="00E90B9B">
        <w:tblPrEx>
          <w:tblCellMar>
            <w:top w:w="0" w:type="dxa"/>
            <w:bottom w:w="0" w:type="dxa"/>
          </w:tblCellMar>
        </w:tblPrEx>
        <w:trPr>
          <w:trHeight w:val="426"/>
        </w:trPr>
        <w:tc>
          <w:tcPr>
            <w:tcW w:w="10803" w:type="dxa"/>
            <w:tcBorders>
              <w:top w:val="dashed" w:sz="6" w:space="0" w:color="1F3864"/>
              <w:left w:val="dashed" w:sz="6" w:space="0" w:color="1F3864"/>
              <w:bottom w:val="dashed" w:sz="6" w:space="0" w:color="1F3864"/>
              <w:right w:val="dashed" w:sz="6" w:space="0" w:color="1F3864"/>
            </w:tcBorders>
            <w:shd w:val="clear" w:color="auto" w:fill="F2F5FB"/>
            <w:tcMar>
              <w:top w:w="260" w:type="dxa"/>
              <w:left w:w="200" w:type="dxa"/>
              <w:bottom w:w="260" w:type="dxa"/>
              <w:right w:w="200" w:type="dxa"/>
            </w:tcMar>
          </w:tcPr>
          <w:p w14:paraId="1EA62D28" w14:textId="2FDA5AD2" w:rsidR="00E90B9B" w:rsidRDefault="00E90B9B" w:rsidP="00E90B9B">
            <w:pPr>
              <w:jc w:val="center"/>
            </w:pPr>
            <w:proofErr w:type="gramStart"/>
            <w:r>
              <w:rPr>
                <w:b/>
                <w:bCs/>
                <w:color w:val="1F3864"/>
              </w:rPr>
              <w:t xml:space="preserve">GRAPH </w:t>
            </w:r>
            <w:r>
              <w:rPr>
                <w:b/>
                <w:bCs/>
                <w:color w:val="1F3864"/>
              </w:rPr>
              <w:t xml:space="preserve"> -</w:t>
            </w:r>
            <w:proofErr w:type="gramEnd"/>
            <w:r>
              <w:rPr>
                <w:b/>
                <w:bCs/>
                <w:color w:val="1F3864"/>
              </w:rPr>
              <w:t xml:space="preserve"> 01</w:t>
            </w:r>
          </w:p>
          <w:p w14:paraId="7D72F8BD" w14:textId="29E342DD" w:rsidR="004C28A3" w:rsidRDefault="00E90B9B">
            <w:pPr>
              <w:spacing w:before="40"/>
              <w:jc w:val="center"/>
            </w:pPr>
            <w:r w:rsidRPr="00E90B9B">
              <w:drawing>
                <wp:inline distT="0" distB="0" distL="0" distR="0" wp14:anchorId="0E88E0BF" wp14:editId="3422A54D">
                  <wp:extent cx="6629400" cy="2286635"/>
                  <wp:effectExtent l="0" t="0" r="0" b="0"/>
                  <wp:docPr id="7429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1040" name=""/>
                          <pic:cNvPicPr/>
                        </pic:nvPicPr>
                        <pic:blipFill>
                          <a:blip r:embed="rId7"/>
                          <a:stretch>
                            <a:fillRect/>
                          </a:stretch>
                        </pic:blipFill>
                        <pic:spPr>
                          <a:xfrm>
                            <a:off x="0" y="0"/>
                            <a:ext cx="6629400" cy="2286635"/>
                          </a:xfrm>
                          <a:prstGeom prst="rect">
                            <a:avLst/>
                          </a:prstGeom>
                        </pic:spPr>
                      </pic:pic>
                    </a:graphicData>
                  </a:graphic>
                </wp:inline>
              </w:drawing>
            </w:r>
          </w:p>
        </w:tc>
      </w:tr>
    </w:tbl>
    <w:p w14:paraId="04A5276E" w14:textId="77777777" w:rsidR="004C28A3" w:rsidRDefault="004C28A3">
      <w:pPr>
        <w:spacing w:after="250"/>
      </w:pPr>
    </w:p>
    <w:p w14:paraId="4EE6684C" w14:textId="77777777" w:rsidR="004C28A3" w:rsidRDefault="00000000">
      <w:pPr>
        <w:pStyle w:val="Heading2"/>
        <w:spacing w:before="240" w:after="120"/>
      </w:pPr>
      <w:r>
        <w:rPr>
          <w:b/>
          <w:bCs/>
          <w:color w:val="1F3864"/>
          <w:sz w:val="24"/>
          <w:szCs w:val="24"/>
        </w:rPr>
        <w:lastRenderedPageBreak/>
        <w:t>4. Default Rate by FICO, DTI &amp; Revolving Utilization</w:t>
      </w:r>
    </w:p>
    <w:p w14:paraId="642B5500" w14:textId="3159570D" w:rsidR="00E90B9B" w:rsidRPr="00E90B9B" w:rsidRDefault="00E90B9B" w:rsidP="00E90B9B">
      <w:pPr>
        <w:spacing w:after="140" w:line="300" w:lineRule="auto"/>
        <w:jc w:val="both"/>
        <w:rPr>
          <w:color w:val="262626"/>
          <w:sz w:val="21"/>
          <w:szCs w:val="21"/>
        </w:rPr>
      </w:pPr>
      <w:r w:rsidRPr="00E90B9B">
        <w:rPr>
          <w:rFonts w:ascii="Times New Roman" w:eastAsia="Times New Roman" w:hAnsi="Times New Roman" w:cs="Times New Roman"/>
          <w:b/>
          <w:bCs/>
          <w:sz w:val="24"/>
          <w:szCs w:val="24"/>
        </w:rPr>
        <w:t xml:space="preserve"> </w:t>
      </w:r>
      <w:r w:rsidRPr="00E90B9B">
        <w:rPr>
          <w:b/>
          <w:bCs/>
          <w:color w:val="262626"/>
          <w:sz w:val="21"/>
          <w:szCs w:val="21"/>
        </w:rPr>
        <w:t>FICO score</w:t>
      </w:r>
      <w:r w:rsidRPr="00E90B9B">
        <w:rPr>
          <w:color w:val="262626"/>
          <w:sz w:val="21"/>
          <w:szCs w:val="21"/>
        </w:rPr>
        <w:t xml:space="preserve"> is the strongest predictor of loan default in the portfolio. Borrowers in the </w:t>
      </w:r>
      <w:r w:rsidRPr="00E90B9B">
        <w:rPr>
          <w:b/>
          <w:bCs/>
          <w:color w:val="262626"/>
          <w:sz w:val="21"/>
          <w:szCs w:val="21"/>
        </w:rPr>
        <w:t>Low FICO</w:t>
      </w:r>
      <w:r w:rsidRPr="00E90B9B">
        <w:rPr>
          <w:color w:val="262626"/>
          <w:sz w:val="21"/>
          <w:szCs w:val="21"/>
        </w:rPr>
        <w:t xml:space="preserve"> band have a default rate of </w:t>
      </w:r>
      <w:r w:rsidRPr="00E90B9B">
        <w:rPr>
          <w:b/>
          <w:bCs/>
          <w:color w:val="262626"/>
          <w:sz w:val="21"/>
          <w:szCs w:val="21"/>
        </w:rPr>
        <w:t>23.62%</w:t>
      </w:r>
      <w:r w:rsidRPr="00E90B9B">
        <w:rPr>
          <w:color w:val="262626"/>
          <w:sz w:val="21"/>
          <w:szCs w:val="21"/>
        </w:rPr>
        <w:t xml:space="preserve">, compared with only </w:t>
      </w:r>
      <w:r w:rsidRPr="00E90B9B">
        <w:rPr>
          <w:b/>
          <w:bCs/>
          <w:color w:val="262626"/>
          <w:sz w:val="21"/>
          <w:szCs w:val="21"/>
        </w:rPr>
        <w:t>7.43%</w:t>
      </w:r>
      <w:r w:rsidRPr="00E90B9B">
        <w:rPr>
          <w:color w:val="262626"/>
          <w:sz w:val="21"/>
          <w:szCs w:val="21"/>
        </w:rPr>
        <w:t xml:space="preserve"> for the </w:t>
      </w:r>
      <w:r w:rsidRPr="00E90B9B">
        <w:rPr>
          <w:b/>
          <w:bCs/>
          <w:color w:val="262626"/>
          <w:sz w:val="21"/>
          <w:szCs w:val="21"/>
        </w:rPr>
        <w:t>High FICO</w:t>
      </w:r>
      <w:r w:rsidRPr="00E90B9B">
        <w:rPr>
          <w:color w:val="262626"/>
          <w:sz w:val="21"/>
          <w:szCs w:val="21"/>
        </w:rPr>
        <w:t xml:space="preserve"> band, while the </w:t>
      </w:r>
      <w:r w:rsidRPr="00E90B9B">
        <w:rPr>
          <w:b/>
          <w:bCs/>
          <w:color w:val="262626"/>
          <w:sz w:val="21"/>
          <w:szCs w:val="21"/>
        </w:rPr>
        <w:t>Medium FICO</w:t>
      </w:r>
      <w:r w:rsidRPr="00E90B9B">
        <w:rPr>
          <w:color w:val="262626"/>
          <w:sz w:val="21"/>
          <w:szCs w:val="21"/>
        </w:rPr>
        <w:t xml:space="preserve"> group records </w:t>
      </w:r>
      <w:r w:rsidRPr="00E90B9B">
        <w:rPr>
          <w:b/>
          <w:bCs/>
          <w:color w:val="262626"/>
          <w:sz w:val="21"/>
          <w:szCs w:val="21"/>
        </w:rPr>
        <w:t>15.63%</w:t>
      </w:r>
      <w:r w:rsidRPr="00E90B9B">
        <w:rPr>
          <w:color w:val="262626"/>
          <w:sz w:val="21"/>
          <w:szCs w:val="21"/>
        </w:rPr>
        <w:t>. This highlights the strong relationship between credit score and repayment risk.</w:t>
      </w:r>
    </w:p>
    <w:p w14:paraId="6D68D390" w14:textId="77777777" w:rsidR="00E90B9B" w:rsidRPr="00E90B9B" w:rsidRDefault="00E90B9B" w:rsidP="00E90B9B">
      <w:pPr>
        <w:spacing w:after="140" w:line="300" w:lineRule="auto"/>
        <w:jc w:val="both"/>
        <w:rPr>
          <w:color w:val="262626"/>
          <w:sz w:val="21"/>
          <w:szCs w:val="21"/>
        </w:rPr>
      </w:pPr>
      <w:r w:rsidRPr="00E90B9B">
        <w:rPr>
          <w:color w:val="262626"/>
          <w:sz w:val="21"/>
          <w:szCs w:val="21"/>
        </w:rPr>
        <w:t xml:space="preserve">A similar pattern is observed for </w:t>
      </w:r>
      <w:r w:rsidRPr="00E90B9B">
        <w:rPr>
          <w:b/>
          <w:bCs/>
          <w:color w:val="262626"/>
          <w:sz w:val="21"/>
          <w:szCs w:val="21"/>
        </w:rPr>
        <w:t>DTI ratio</w:t>
      </w:r>
      <w:r w:rsidRPr="00E90B9B">
        <w:rPr>
          <w:color w:val="262626"/>
          <w:sz w:val="21"/>
          <w:szCs w:val="21"/>
        </w:rPr>
        <w:t xml:space="preserve"> and </w:t>
      </w:r>
      <w:r w:rsidRPr="00E90B9B">
        <w:rPr>
          <w:b/>
          <w:bCs/>
          <w:color w:val="262626"/>
          <w:sz w:val="21"/>
          <w:szCs w:val="21"/>
        </w:rPr>
        <w:t>revolving credit utilization</w:t>
      </w:r>
      <w:r w:rsidRPr="00E90B9B">
        <w:rPr>
          <w:color w:val="262626"/>
          <w:sz w:val="21"/>
          <w:szCs w:val="21"/>
        </w:rPr>
        <w:t>. Borrowers with higher debt burdens and higher credit utilization consistently show higher default rates than those with lower levels. Together, these factors provide a reliable basis for improving underwriting, risk-based pricing, and credit risk management.</w:t>
      </w:r>
    </w:p>
    <w:tbl>
      <w:tblPr>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9"/>
        <w:gridCol w:w="3439"/>
        <w:gridCol w:w="3438"/>
      </w:tblGrid>
      <w:tr w:rsidR="004C28A3" w14:paraId="3E945A2A" w14:textId="77777777" w:rsidTr="00E90B9B">
        <w:tblPrEx>
          <w:tblCellMar>
            <w:top w:w="0" w:type="dxa"/>
            <w:bottom w:w="0" w:type="dxa"/>
          </w:tblCellMar>
        </w:tblPrEx>
        <w:trPr>
          <w:trHeight w:val="224"/>
          <w:tblHeader/>
        </w:trPr>
        <w:tc>
          <w:tcPr>
            <w:tcW w:w="3439" w:type="dxa"/>
            <w:shd w:val="clear" w:color="auto" w:fill="1F3864"/>
            <w:tcMar>
              <w:top w:w="100" w:type="dxa"/>
              <w:left w:w="120" w:type="dxa"/>
              <w:bottom w:w="100" w:type="dxa"/>
              <w:right w:w="120" w:type="dxa"/>
            </w:tcMar>
            <w:vAlign w:val="center"/>
          </w:tcPr>
          <w:p w14:paraId="03CA7574" w14:textId="77777777" w:rsidR="004C28A3" w:rsidRDefault="00000000" w:rsidP="007F2DE8">
            <w:pPr>
              <w:jc w:val="center"/>
            </w:pPr>
            <w:r>
              <w:rPr>
                <w:b/>
                <w:bCs/>
                <w:color w:val="FFFFFF"/>
              </w:rPr>
              <w:t>Segment</w:t>
            </w:r>
          </w:p>
        </w:tc>
        <w:tc>
          <w:tcPr>
            <w:tcW w:w="3439" w:type="dxa"/>
            <w:shd w:val="clear" w:color="auto" w:fill="1F3864"/>
            <w:tcMar>
              <w:top w:w="100" w:type="dxa"/>
              <w:left w:w="120" w:type="dxa"/>
              <w:bottom w:w="100" w:type="dxa"/>
              <w:right w:w="120" w:type="dxa"/>
            </w:tcMar>
            <w:vAlign w:val="center"/>
          </w:tcPr>
          <w:p w14:paraId="09089725" w14:textId="77777777" w:rsidR="004C28A3" w:rsidRDefault="00000000">
            <w:pPr>
              <w:jc w:val="center"/>
            </w:pPr>
            <w:r>
              <w:rPr>
                <w:b/>
                <w:bCs/>
                <w:color w:val="FFFFFF"/>
              </w:rPr>
              <w:t>Band</w:t>
            </w:r>
          </w:p>
        </w:tc>
        <w:tc>
          <w:tcPr>
            <w:tcW w:w="3438" w:type="dxa"/>
            <w:shd w:val="clear" w:color="auto" w:fill="1F3864"/>
            <w:tcMar>
              <w:top w:w="100" w:type="dxa"/>
              <w:left w:w="120" w:type="dxa"/>
              <w:bottom w:w="100" w:type="dxa"/>
              <w:right w:w="120" w:type="dxa"/>
            </w:tcMar>
            <w:vAlign w:val="center"/>
          </w:tcPr>
          <w:p w14:paraId="299B1C2B" w14:textId="77777777" w:rsidR="004C28A3" w:rsidRDefault="00000000">
            <w:pPr>
              <w:jc w:val="center"/>
            </w:pPr>
            <w:r>
              <w:rPr>
                <w:b/>
                <w:bCs/>
                <w:color w:val="FFFFFF"/>
              </w:rPr>
              <w:t>Default Rate</w:t>
            </w:r>
          </w:p>
        </w:tc>
      </w:tr>
      <w:tr w:rsidR="004C28A3" w14:paraId="0DB15EC3" w14:textId="77777777" w:rsidTr="00E90B9B">
        <w:tblPrEx>
          <w:tblCellMar>
            <w:top w:w="0" w:type="dxa"/>
            <w:bottom w:w="0" w:type="dxa"/>
          </w:tblCellMar>
        </w:tblPrEx>
        <w:trPr>
          <w:trHeight w:val="224"/>
        </w:trPr>
        <w:tc>
          <w:tcPr>
            <w:tcW w:w="3439" w:type="dxa"/>
            <w:shd w:val="clear" w:color="auto" w:fill="F2F5FB"/>
            <w:tcMar>
              <w:top w:w="100" w:type="dxa"/>
              <w:left w:w="120" w:type="dxa"/>
              <w:bottom w:w="100" w:type="dxa"/>
              <w:right w:w="120" w:type="dxa"/>
            </w:tcMar>
            <w:vAlign w:val="center"/>
          </w:tcPr>
          <w:p w14:paraId="5C53CE1B" w14:textId="77777777" w:rsidR="004C28A3" w:rsidRDefault="00000000">
            <w:r>
              <w:rPr>
                <w:color w:val="262626"/>
              </w:rPr>
              <w:t>FICO Band</w:t>
            </w:r>
          </w:p>
        </w:tc>
        <w:tc>
          <w:tcPr>
            <w:tcW w:w="3439" w:type="dxa"/>
            <w:shd w:val="clear" w:color="auto" w:fill="F2F5FB"/>
            <w:tcMar>
              <w:top w:w="100" w:type="dxa"/>
              <w:left w:w="120" w:type="dxa"/>
              <w:bottom w:w="100" w:type="dxa"/>
              <w:right w:w="120" w:type="dxa"/>
            </w:tcMar>
            <w:vAlign w:val="center"/>
          </w:tcPr>
          <w:p w14:paraId="1616BB47" w14:textId="77777777" w:rsidR="004C28A3" w:rsidRDefault="00000000">
            <w:pPr>
              <w:jc w:val="center"/>
            </w:pPr>
            <w:r>
              <w:rPr>
                <w:color w:val="262626"/>
              </w:rPr>
              <w:t>Low</w:t>
            </w:r>
          </w:p>
        </w:tc>
        <w:tc>
          <w:tcPr>
            <w:tcW w:w="3438" w:type="dxa"/>
            <w:shd w:val="clear" w:color="auto" w:fill="F2F5FB"/>
            <w:tcMar>
              <w:top w:w="100" w:type="dxa"/>
              <w:left w:w="120" w:type="dxa"/>
              <w:bottom w:w="100" w:type="dxa"/>
              <w:right w:w="120" w:type="dxa"/>
            </w:tcMar>
            <w:vAlign w:val="center"/>
          </w:tcPr>
          <w:p w14:paraId="011B41A1" w14:textId="77777777" w:rsidR="004C28A3" w:rsidRDefault="00000000">
            <w:pPr>
              <w:jc w:val="center"/>
            </w:pPr>
            <w:r>
              <w:rPr>
                <w:color w:val="262626"/>
              </w:rPr>
              <w:t>23.62%</w:t>
            </w:r>
          </w:p>
        </w:tc>
      </w:tr>
      <w:tr w:rsidR="004C28A3" w14:paraId="498F88F7" w14:textId="77777777" w:rsidTr="00E90B9B">
        <w:tblPrEx>
          <w:tblCellMar>
            <w:top w:w="0" w:type="dxa"/>
            <w:bottom w:w="0" w:type="dxa"/>
          </w:tblCellMar>
        </w:tblPrEx>
        <w:trPr>
          <w:trHeight w:val="224"/>
        </w:trPr>
        <w:tc>
          <w:tcPr>
            <w:tcW w:w="3439" w:type="dxa"/>
            <w:shd w:val="clear" w:color="auto" w:fill="FFFFFF"/>
            <w:tcMar>
              <w:top w:w="100" w:type="dxa"/>
              <w:left w:w="120" w:type="dxa"/>
              <w:bottom w:w="100" w:type="dxa"/>
              <w:right w:w="120" w:type="dxa"/>
            </w:tcMar>
            <w:vAlign w:val="center"/>
          </w:tcPr>
          <w:p w14:paraId="688D04D4" w14:textId="77777777" w:rsidR="004C28A3" w:rsidRDefault="00000000">
            <w:r>
              <w:rPr>
                <w:color w:val="262626"/>
              </w:rPr>
              <w:t>FICO Band</w:t>
            </w:r>
          </w:p>
        </w:tc>
        <w:tc>
          <w:tcPr>
            <w:tcW w:w="3439" w:type="dxa"/>
            <w:shd w:val="clear" w:color="auto" w:fill="FFFFFF"/>
            <w:tcMar>
              <w:top w:w="100" w:type="dxa"/>
              <w:left w:w="120" w:type="dxa"/>
              <w:bottom w:w="100" w:type="dxa"/>
              <w:right w:w="120" w:type="dxa"/>
            </w:tcMar>
            <w:vAlign w:val="center"/>
          </w:tcPr>
          <w:p w14:paraId="04FF21E2" w14:textId="77777777" w:rsidR="004C28A3" w:rsidRDefault="00000000">
            <w:pPr>
              <w:jc w:val="center"/>
            </w:pPr>
            <w:r>
              <w:rPr>
                <w:color w:val="262626"/>
              </w:rPr>
              <w:t>Medium</w:t>
            </w:r>
          </w:p>
        </w:tc>
        <w:tc>
          <w:tcPr>
            <w:tcW w:w="3438" w:type="dxa"/>
            <w:shd w:val="clear" w:color="auto" w:fill="FFFFFF"/>
            <w:tcMar>
              <w:top w:w="100" w:type="dxa"/>
              <w:left w:w="120" w:type="dxa"/>
              <w:bottom w:w="100" w:type="dxa"/>
              <w:right w:w="120" w:type="dxa"/>
            </w:tcMar>
            <w:vAlign w:val="center"/>
          </w:tcPr>
          <w:p w14:paraId="4AC38343" w14:textId="77777777" w:rsidR="004C28A3" w:rsidRDefault="00000000">
            <w:pPr>
              <w:jc w:val="center"/>
            </w:pPr>
            <w:r>
              <w:rPr>
                <w:color w:val="262626"/>
              </w:rPr>
              <w:t>15.63%</w:t>
            </w:r>
          </w:p>
        </w:tc>
      </w:tr>
      <w:tr w:rsidR="004C28A3" w14:paraId="79622D25" w14:textId="77777777" w:rsidTr="00E90B9B">
        <w:tblPrEx>
          <w:tblCellMar>
            <w:top w:w="0" w:type="dxa"/>
            <w:bottom w:w="0" w:type="dxa"/>
          </w:tblCellMar>
        </w:tblPrEx>
        <w:trPr>
          <w:trHeight w:val="214"/>
        </w:trPr>
        <w:tc>
          <w:tcPr>
            <w:tcW w:w="3439" w:type="dxa"/>
            <w:shd w:val="clear" w:color="auto" w:fill="F2F5FB"/>
            <w:tcMar>
              <w:top w:w="100" w:type="dxa"/>
              <w:left w:w="120" w:type="dxa"/>
              <w:bottom w:w="100" w:type="dxa"/>
              <w:right w:w="120" w:type="dxa"/>
            </w:tcMar>
            <w:vAlign w:val="center"/>
          </w:tcPr>
          <w:p w14:paraId="22864D97" w14:textId="77777777" w:rsidR="004C28A3" w:rsidRDefault="00000000">
            <w:r>
              <w:rPr>
                <w:color w:val="262626"/>
              </w:rPr>
              <w:t>FICO Band</w:t>
            </w:r>
          </w:p>
        </w:tc>
        <w:tc>
          <w:tcPr>
            <w:tcW w:w="3439" w:type="dxa"/>
            <w:shd w:val="clear" w:color="auto" w:fill="F2F5FB"/>
            <w:tcMar>
              <w:top w:w="100" w:type="dxa"/>
              <w:left w:w="120" w:type="dxa"/>
              <w:bottom w:w="100" w:type="dxa"/>
              <w:right w:w="120" w:type="dxa"/>
            </w:tcMar>
            <w:vAlign w:val="center"/>
          </w:tcPr>
          <w:p w14:paraId="155B55E0" w14:textId="77777777" w:rsidR="004C28A3" w:rsidRDefault="00000000">
            <w:pPr>
              <w:jc w:val="center"/>
            </w:pPr>
            <w:r>
              <w:rPr>
                <w:color w:val="262626"/>
              </w:rPr>
              <w:t>High</w:t>
            </w:r>
          </w:p>
        </w:tc>
        <w:tc>
          <w:tcPr>
            <w:tcW w:w="3438" w:type="dxa"/>
            <w:shd w:val="clear" w:color="auto" w:fill="F2F5FB"/>
            <w:tcMar>
              <w:top w:w="100" w:type="dxa"/>
              <w:left w:w="120" w:type="dxa"/>
              <w:bottom w:w="100" w:type="dxa"/>
              <w:right w:w="120" w:type="dxa"/>
            </w:tcMar>
            <w:vAlign w:val="center"/>
          </w:tcPr>
          <w:p w14:paraId="6BFA38CE" w14:textId="77777777" w:rsidR="004C28A3" w:rsidRDefault="00000000">
            <w:pPr>
              <w:jc w:val="center"/>
            </w:pPr>
            <w:r>
              <w:rPr>
                <w:color w:val="262626"/>
              </w:rPr>
              <w:t>7.43%</w:t>
            </w:r>
          </w:p>
        </w:tc>
      </w:tr>
      <w:tr w:rsidR="004C28A3" w14:paraId="1A8BF140" w14:textId="77777777" w:rsidTr="00E90B9B">
        <w:tblPrEx>
          <w:tblCellMar>
            <w:top w:w="0" w:type="dxa"/>
            <w:bottom w:w="0" w:type="dxa"/>
          </w:tblCellMar>
        </w:tblPrEx>
        <w:trPr>
          <w:trHeight w:val="224"/>
        </w:trPr>
        <w:tc>
          <w:tcPr>
            <w:tcW w:w="3439" w:type="dxa"/>
            <w:shd w:val="clear" w:color="auto" w:fill="FFFFFF"/>
            <w:tcMar>
              <w:top w:w="100" w:type="dxa"/>
              <w:left w:w="120" w:type="dxa"/>
              <w:bottom w:w="100" w:type="dxa"/>
              <w:right w:w="120" w:type="dxa"/>
            </w:tcMar>
            <w:vAlign w:val="center"/>
          </w:tcPr>
          <w:p w14:paraId="466ADD73" w14:textId="77777777" w:rsidR="004C28A3" w:rsidRDefault="00000000">
            <w:r>
              <w:rPr>
                <w:color w:val="262626"/>
              </w:rPr>
              <w:t>DTI Band</w:t>
            </w:r>
          </w:p>
        </w:tc>
        <w:tc>
          <w:tcPr>
            <w:tcW w:w="3439" w:type="dxa"/>
            <w:shd w:val="clear" w:color="auto" w:fill="FFFFFF"/>
            <w:tcMar>
              <w:top w:w="100" w:type="dxa"/>
              <w:left w:w="120" w:type="dxa"/>
              <w:bottom w:w="100" w:type="dxa"/>
              <w:right w:w="120" w:type="dxa"/>
            </w:tcMar>
            <w:vAlign w:val="center"/>
          </w:tcPr>
          <w:p w14:paraId="0CBE6C1B" w14:textId="77777777" w:rsidR="004C28A3" w:rsidRDefault="00000000">
            <w:pPr>
              <w:jc w:val="center"/>
            </w:pPr>
            <w:r>
              <w:rPr>
                <w:color w:val="262626"/>
              </w:rPr>
              <w:t>High</w:t>
            </w:r>
          </w:p>
        </w:tc>
        <w:tc>
          <w:tcPr>
            <w:tcW w:w="3438" w:type="dxa"/>
            <w:shd w:val="clear" w:color="auto" w:fill="FFFFFF"/>
            <w:tcMar>
              <w:top w:w="100" w:type="dxa"/>
              <w:left w:w="120" w:type="dxa"/>
              <w:bottom w:w="100" w:type="dxa"/>
              <w:right w:w="120" w:type="dxa"/>
            </w:tcMar>
            <w:vAlign w:val="center"/>
          </w:tcPr>
          <w:p w14:paraId="00460DCC" w14:textId="77777777" w:rsidR="004C28A3" w:rsidRDefault="00000000">
            <w:pPr>
              <w:jc w:val="center"/>
            </w:pPr>
            <w:r>
              <w:rPr>
                <w:color w:val="262626"/>
              </w:rPr>
              <w:t>18.33%</w:t>
            </w:r>
          </w:p>
        </w:tc>
      </w:tr>
      <w:tr w:rsidR="004C28A3" w14:paraId="4B359208" w14:textId="77777777" w:rsidTr="00E90B9B">
        <w:tblPrEx>
          <w:tblCellMar>
            <w:top w:w="0" w:type="dxa"/>
            <w:bottom w:w="0" w:type="dxa"/>
          </w:tblCellMar>
        </w:tblPrEx>
        <w:trPr>
          <w:trHeight w:val="224"/>
        </w:trPr>
        <w:tc>
          <w:tcPr>
            <w:tcW w:w="3439" w:type="dxa"/>
            <w:shd w:val="clear" w:color="auto" w:fill="F2F5FB"/>
            <w:tcMar>
              <w:top w:w="100" w:type="dxa"/>
              <w:left w:w="120" w:type="dxa"/>
              <w:bottom w:w="100" w:type="dxa"/>
              <w:right w:w="120" w:type="dxa"/>
            </w:tcMar>
            <w:vAlign w:val="center"/>
          </w:tcPr>
          <w:p w14:paraId="05B2E930" w14:textId="77777777" w:rsidR="004C28A3" w:rsidRDefault="00000000">
            <w:r>
              <w:rPr>
                <w:color w:val="262626"/>
              </w:rPr>
              <w:t>DTI Band</w:t>
            </w:r>
          </w:p>
        </w:tc>
        <w:tc>
          <w:tcPr>
            <w:tcW w:w="3439" w:type="dxa"/>
            <w:shd w:val="clear" w:color="auto" w:fill="F2F5FB"/>
            <w:tcMar>
              <w:top w:w="100" w:type="dxa"/>
              <w:left w:w="120" w:type="dxa"/>
              <w:bottom w:w="100" w:type="dxa"/>
              <w:right w:w="120" w:type="dxa"/>
            </w:tcMar>
            <w:vAlign w:val="center"/>
          </w:tcPr>
          <w:p w14:paraId="3BA89C7A" w14:textId="77777777" w:rsidR="004C28A3" w:rsidRDefault="00000000">
            <w:pPr>
              <w:jc w:val="center"/>
            </w:pPr>
            <w:r>
              <w:rPr>
                <w:color w:val="262626"/>
              </w:rPr>
              <w:t>Medium</w:t>
            </w:r>
          </w:p>
        </w:tc>
        <w:tc>
          <w:tcPr>
            <w:tcW w:w="3438" w:type="dxa"/>
            <w:shd w:val="clear" w:color="auto" w:fill="F2F5FB"/>
            <w:tcMar>
              <w:top w:w="100" w:type="dxa"/>
              <w:left w:w="120" w:type="dxa"/>
              <w:bottom w:w="100" w:type="dxa"/>
              <w:right w:w="120" w:type="dxa"/>
            </w:tcMar>
            <w:vAlign w:val="center"/>
          </w:tcPr>
          <w:p w14:paraId="4E87CFA3" w14:textId="77777777" w:rsidR="004C28A3" w:rsidRDefault="00000000">
            <w:pPr>
              <w:jc w:val="center"/>
            </w:pPr>
            <w:r>
              <w:rPr>
                <w:color w:val="262626"/>
              </w:rPr>
              <w:t>16.10%</w:t>
            </w:r>
          </w:p>
        </w:tc>
      </w:tr>
      <w:tr w:rsidR="004C28A3" w14:paraId="6CE5CC34" w14:textId="77777777" w:rsidTr="00E90B9B">
        <w:tblPrEx>
          <w:tblCellMar>
            <w:top w:w="0" w:type="dxa"/>
            <w:bottom w:w="0" w:type="dxa"/>
          </w:tblCellMar>
        </w:tblPrEx>
        <w:trPr>
          <w:trHeight w:val="224"/>
        </w:trPr>
        <w:tc>
          <w:tcPr>
            <w:tcW w:w="3439" w:type="dxa"/>
            <w:shd w:val="clear" w:color="auto" w:fill="FFFFFF"/>
            <w:tcMar>
              <w:top w:w="100" w:type="dxa"/>
              <w:left w:w="120" w:type="dxa"/>
              <w:bottom w:w="100" w:type="dxa"/>
              <w:right w:w="120" w:type="dxa"/>
            </w:tcMar>
            <w:vAlign w:val="center"/>
          </w:tcPr>
          <w:p w14:paraId="6130135F" w14:textId="77777777" w:rsidR="004C28A3" w:rsidRDefault="00000000">
            <w:r>
              <w:rPr>
                <w:color w:val="262626"/>
              </w:rPr>
              <w:t>DTI Band</w:t>
            </w:r>
          </w:p>
        </w:tc>
        <w:tc>
          <w:tcPr>
            <w:tcW w:w="3439" w:type="dxa"/>
            <w:shd w:val="clear" w:color="auto" w:fill="FFFFFF"/>
            <w:tcMar>
              <w:top w:w="100" w:type="dxa"/>
              <w:left w:w="120" w:type="dxa"/>
              <w:bottom w:w="100" w:type="dxa"/>
              <w:right w:w="120" w:type="dxa"/>
            </w:tcMar>
            <w:vAlign w:val="center"/>
          </w:tcPr>
          <w:p w14:paraId="0C6414E2" w14:textId="77777777" w:rsidR="004C28A3" w:rsidRDefault="00000000">
            <w:pPr>
              <w:jc w:val="center"/>
            </w:pPr>
            <w:r>
              <w:rPr>
                <w:color w:val="262626"/>
              </w:rPr>
              <w:t>Low</w:t>
            </w:r>
          </w:p>
        </w:tc>
        <w:tc>
          <w:tcPr>
            <w:tcW w:w="3438" w:type="dxa"/>
            <w:shd w:val="clear" w:color="auto" w:fill="FFFFFF"/>
            <w:tcMar>
              <w:top w:w="100" w:type="dxa"/>
              <w:left w:w="120" w:type="dxa"/>
              <w:bottom w:w="100" w:type="dxa"/>
              <w:right w:w="120" w:type="dxa"/>
            </w:tcMar>
            <w:vAlign w:val="center"/>
          </w:tcPr>
          <w:p w14:paraId="7681CEC1" w14:textId="77777777" w:rsidR="004C28A3" w:rsidRDefault="00000000">
            <w:pPr>
              <w:jc w:val="center"/>
            </w:pPr>
            <w:r>
              <w:rPr>
                <w:color w:val="262626"/>
              </w:rPr>
              <w:t>14.83%</w:t>
            </w:r>
          </w:p>
        </w:tc>
      </w:tr>
      <w:tr w:rsidR="004C28A3" w14:paraId="603850A0" w14:textId="77777777" w:rsidTr="00E90B9B">
        <w:tblPrEx>
          <w:tblCellMar>
            <w:top w:w="0" w:type="dxa"/>
            <w:bottom w:w="0" w:type="dxa"/>
          </w:tblCellMar>
        </w:tblPrEx>
        <w:trPr>
          <w:trHeight w:val="224"/>
        </w:trPr>
        <w:tc>
          <w:tcPr>
            <w:tcW w:w="3439" w:type="dxa"/>
            <w:shd w:val="clear" w:color="auto" w:fill="F2F5FB"/>
            <w:tcMar>
              <w:top w:w="100" w:type="dxa"/>
              <w:left w:w="120" w:type="dxa"/>
              <w:bottom w:w="100" w:type="dxa"/>
              <w:right w:w="120" w:type="dxa"/>
            </w:tcMar>
            <w:vAlign w:val="center"/>
          </w:tcPr>
          <w:p w14:paraId="46D7DE1A" w14:textId="77777777" w:rsidR="004C28A3" w:rsidRDefault="00000000">
            <w:r>
              <w:rPr>
                <w:color w:val="262626"/>
              </w:rPr>
              <w:t>Revolving Utilization</w:t>
            </w:r>
          </w:p>
        </w:tc>
        <w:tc>
          <w:tcPr>
            <w:tcW w:w="3439" w:type="dxa"/>
            <w:shd w:val="clear" w:color="auto" w:fill="F2F5FB"/>
            <w:tcMar>
              <w:top w:w="100" w:type="dxa"/>
              <w:left w:w="120" w:type="dxa"/>
              <w:bottom w:w="100" w:type="dxa"/>
              <w:right w:w="120" w:type="dxa"/>
            </w:tcMar>
            <w:vAlign w:val="center"/>
          </w:tcPr>
          <w:p w14:paraId="627064FC" w14:textId="77777777" w:rsidR="004C28A3" w:rsidRDefault="00000000">
            <w:pPr>
              <w:jc w:val="center"/>
            </w:pPr>
            <w:r>
              <w:rPr>
                <w:color w:val="262626"/>
              </w:rPr>
              <w:t>High</w:t>
            </w:r>
          </w:p>
        </w:tc>
        <w:tc>
          <w:tcPr>
            <w:tcW w:w="3438" w:type="dxa"/>
            <w:shd w:val="clear" w:color="auto" w:fill="F2F5FB"/>
            <w:tcMar>
              <w:top w:w="100" w:type="dxa"/>
              <w:left w:w="120" w:type="dxa"/>
              <w:bottom w:w="100" w:type="dxa"/>
              <w:right w:w="120" w:type="dxa"/>
            </w:tcMar>
            <w:vAlign w:val="center"/>
          </w:tcPr>
          <w:p w14:paraId="0CDEF3B6" w14:textId="77777777" w:rsidR="004C28A3" w:rsidRDefault="00000000">
            <w:pPr>
              <w:jc w:val="center"/>
            </w:pPr>
            <w:r>
              <w:rPr>
                <w:color w:val="262626"/>
              </w:rPr>
              <w:t>18.97%</w:t>
            </w:r>
          </w:p>
        </w:tc>
      </w:tr>
      <w:tr w:rsidR="004C28A3" w14:paraId="79B51BA0" w14:textId="77777777" w:rsidTr="00E90B9B">
        <w:tblPrEx>
          <w:tblCellMar>
            <w:top w:w="0" w:type="dxa"/>
            <w:bottom w:w="0" w:type="dxa"/>
          </w:tblCellMar>
        </w:tblPrEx>
        <w:trPr>
          <w:trHeight w:val="224"/>
        </w:trPr>
        <w:tc>
          <w:tcPr>
            <w:tcW w:w="3439" w:type="dxa"/>
            <w:shd w:val="clear" w:color="auto" w:fill="FFFFFF"/>
            <w:tcMar>
              <w:top w:w="100" w:type="dxa"/>
              <w:left w:w="120" w:type="dxa"/>
              <w:bottom w:w="100" w:type="dxa"/>
              <w:right w:w="120" w:type="dxa"/>
            </w:tcMar>
            <w:vAlign w:val="center"/>
          </w:tcPr>
          <w:p w14:paraId="6B79FD36" w14:textId="77777777" w:rsidR="004C28A3" w:rsidRDefault="00000000">
            <w:r>
              <w:rPr>
                <w:color w:val="262626"/>
              </w:rPr>
              <w:t>Revolving Utilization</w:t>
            </w:r>
          </w:p>
        </w:tc>
        <w:tc>
          <w:tcPr>
            <w:tcW w:w="3439" w:type="dxa"/>
            <w:shd w:val="clear" w:color="auto" w:fill="FFFFFF"/>
            <w:tcMar>
              <w:top w:w="100" w:type="dxa"/>
              <w:left w:w="120" w:type="dxa"/>
              <w:bottom w:w="100" w:type="dxa"/>
              <w:right w:w="120" w:type="dxa"/>
            </w:tcMar>
            <w:vAlign w:val="center"/>
          </w:tcPr>
          <w:p w14:paraId="41F400D2" w14:textId="77777777" w:rsidR="004C28A3" w:rsidRDefault="00000000">
            <w:pPr>
              <w:jc w:val="center"/>
            </w:pPr>
            <w:r>
              <w:rPr>
                <w:color w:val="262626"/>
              </w:rPr>
              <w:t>Medium</w:t>
            </w:r>
          </w:p>
        </w:tc>
        <w:tc>
          <w:tcPr>
            <w:tcW w:w="3438" w:type="dxa"/>
            <w:shd w:val="clear" w:color="auto" w:fill="FFFFFF"/>
            <w:tcMar>
              <w:top w:w="100" w:type="dxa"/>
              <w:left w:w="120" w:type="dxa"/>
              <w:bottom w:w="100" w:type="dxa"/>
              <w:right w:w="120" w:type="dxa"/>
            </w:tcMar>
            <w:vAlign w:val="center"/>
          </w:tcPr>
          <w:p w14:paraId="48D04A09" w14:textId="77777777" w:rsidR="004C28A3" w:rsidRDefault="00000000">
            <w:pPr>
              <w:jc w:val="center"/>
            </w:pPr>
            <w:r>
              <w:rPr>
                <w:color w:val="262626"/>
              </w:rPr>
              <w:t>16.33%</w:t>
            </w:r>
          </w:p>
        </w:tc>
      </w:tr>
      <w:tr w:rsidR="004C28A3" w14:paraId="5918698D" w14:textId="77777777" w:rsidTr="00E90B9B">
        <w:tblPrEx>
          <w:tblCellMar>
            <w:top w:w="0" w:type="dxa"/>
            <w:bottom w:w="0" w:type="dxa"/>
          </w:tblCellMar>
        </w:tblPrEx>
        <w:trPr>
          <w:trHeight w:val="214"/>
        </w:trPr>
        <w:tc>
          <w:tcPr>
            <w:tcW w:w="3439" w:type="dxa"/>
            <w:shd w:val="clear" w:color="auto" w:fill="F2F5FB"/>
            <w:tcMar>
              <w:top w:w="100" w:type="dxa"/>
              <w:left w:w="120" w:type="dxa"/>
              <w:bottom w:w="100" w:type="dxa"/>
              <w:right w:w="120" w:type="dxa"/>
            </w:tcMar>
            <w:vAlign w:val="center"/>
          </w:tcPr>
          <w:p w14:paraId="33F1B998" w14:textId="77777777" w:rsidR="004C28A3" w:rsidRDefault="00000000">
            <w:r>
              <w:rPr>
                <w:color w:val="262626"/>
              </w:rPr>
              <w:t>Revolving Utilization</w:t>
            </w:r>
          </w:p>
        </w:tc>
        <w:tc>
          <w:tcPr>
            <w:tcW w:w="3439" w:type="dxa"/>
            <w:shd w:val="clear" w:color="auto" w:fill="F2F5FB"/>
            <w:tcMar>
              <w:top w:w="100" w:type="dxa"/>
              <w:left w:w="120" w:type="dxa"/>
              <w:bottom w:w="100" w:type="dxa"/>
              <w:right w:w="120" w:type="dxa"/>
            </w:tcMar>
            <w:vAlign w:val="center"/>
          </w:tcPr>
          <w:p w14:paraId="5B69C86B" w14:textId="77777777" w:rsidR="004C28A3" w:rsidRDefault="00000000">
            <w:pPr>
              <w:jc w:val="center"/>
            </w:pPr>
            <w:r>
              <w:rPr>
                <w:color w:val="262626"/>
              </w:rPr>
              <w:t>Low</w:t>
            </w:r>
          </w:p>
        </w:tc>
        <w:tc>
          <w:tcPr>
            <w:tcW w:w="3438" w:type="dxa"/>
            <w:shd w:val="clear" w:color="auto" w:fill="F2F5FB"/>
            <w:tcMar>
              <w:top w:w="100" w:type="dxa"/>
              <w:left w:w="120" w:type="dxa"/>
              <w:bottom w:w="100" w:type="dxa"/>
              <w:right w:w="120" w:type="dxa"/>
            </w:tcMar>
            <w:vAlign w:val="center"/>
          </w:tcPr>
          <w:p w14:paraId="043AA6AA" w14:textId="77777777" w:rsidR="004C28A3" w:rsidRDefault="00000000">
            <w:pPr>
              <w:jc w:val="center"/>
            </w:pPr>
            <w:r>
              <w:rPr>
                <w:color w:val="262626"/>
              </w:rPr>
              <w:t>12.43%</w:t>
            </w:r>
          </w:p>
        </w:tc>
      </w:tr>
    </w:tbl>
    <w:p w14:paraId="18961CFE" w14:textId="77777777" w:rsidR="004C28A3" w:rsidRDefault="004C28A3">
      <w:pPr>
        <w:spacing w:after="200"/>
      </w:pPr>
    </w:p>
    <w:tbl>
      <w:tblPr>
        <w:tblW w:w="10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18"/>
      </w:tblGrid>
      <w:tr w:rsidR="004C28A3" w14:paraId="401F8399" w14:textId="77777777" w:rsidTr="00036211">
        <w:tblPrEx>
          <w:tblCellMar>
            <w:top w:w="0" w:type="dxa"/>
            <w:bottom w:w="0" w:type="dxa"/>
          </w:tblCellMar>
        </w:tblPrEx>
        <w:trPr>
          <w:trHeight w:val="5184"/>
        </w:trPr>
        <w:tc>
          <w:tcPr>
            <w:tcW w:w="10718" w:type="dxa"/>
            <w:tcBorders>
              <w:top w:val="dashed" w:sz="6" w:space="0" w:color="1F3864"/>
              <w:left w:val="dashed" w:sz="6" w:space="0" w:color="1F3864"/>
              <w:bottom w:val="dashed" w:sz="6" w:space="0" w:color="1F3864"/>
              <w:right w:val="dashed" w:sz="6" w:space="0" w:color="1F3864"/>
            </w:tcBorders>
            <w:shd w:val="clear" w:color="auto" w:fill="F2F5FB"/>
            <w:tcMar>
              <w:top w:w="260" w:type="dxa"/>
              <w:left w:w="200" w:type="dxa"/>
              <w:bottom w:w="260" w:type="dxa"/>
              <w:right w:w="200" w:type="dxa"/>
            </w:tcMar>
          </w:tcPr>
          <w:p w14:paraId="51E2FCC9" w14:textId="11A9FEAF" w:rsidR="004C28A3" w:rsidRDefault="00000000">
            <w:pPr>
              <w:jc w:val="center"/>
            </w:pPr>
            <w:r>
              <w:rPr>
                <w:b/>
                <w:bCs/>
                <w:color w:val="1F3864"/>
              </w:rPr>
              <w:t xml:space="preserve">GRAPH </w:t>
            </w:r>
            <w:r w:rsidR="00E90B9B">
              <w:rPr>
                <w:b/>
                <w:bCs/>
                <w:color w:val="1F3864"/>
              </w:rPr>
              <w:t xml:space="preserve">– </w:t>
            </w:r>
            <w:proofErr w:type="gramStart"/>
            <w:r w:rsidR="00036211">
              <w:rPr>
                <w:b/>
                <w:bCs/>
                <w:color w:val="1F3864"/>
              </w:rPr>
              <w:t>0</w:t>
            </w:r>
            <w:r w:rsidR="00E90B9B">
              <w:rPr>
                <w:b/>
                <w:bCs/>
                <w:color w:val="1F3864"/>
              </w:rPr>
              <w:t>2 ,</w:t>
            </w:r>
            <w:proofErr w:type="gramEnd"/>
            <w:r w:rsidR="00E90B9B">
              <w:rPr>
                <w:b/>
                <w:bCs/>
                <w:color w:val="1F3864"/>
              </w:rPr>
              <w:t xml:space="preserve"> </w:t>
            </w:r>
            <w:r w:rsidR="00036211">
              <w:rPr>
                <w:b/>
                <w:bCs/>
                <w:color w:val="1F3864"/>
              </w:rPr>
              <w:t>0</w:t>
            </w:r>
            <w:r w:rsidR="00E90B9B">
              <w:rPr>
                <w:b/>
                <w:bCs/>
                <w:color w:val="1F3864"/>
              </w:rPr>
              <w:t xml:space="preserve">3, </w:t>
            </w:r>
            <w:r w:rsidR="00036211">
              <w:rPr>
                <w:b/>
                <w:bCs/>
                <w:color w:val="1F3864"/>
              </w:rPr>
              <w:t>0</w:t>
            </w:r>
            <w:r w:rsidR="00E90B9B">
              <w:rPr>
                <w:b/>
                <w:bCs/>
                <w:color w:val="1F3864"/>
              </w:rPr>
              <w:t>4</w:t>
            </w:r>
          </w:p>
          <w:p w14:paraId="529F4298" w14:textId="410F2CB8" w:rsidR="00E90B9B" w:rsidRDefault="00E90B9B" w:rsidP="00036211">
            <w:pPr>
              <w:spacing w:before="40"/>
            </w:pPr>
            <w:r w:rsidRPr="00E90B9B">
              <w:drawing>
                <wp:inline distT="0" distB="0" distL="0" distR="0" wp14:anchorId="5CA6FDB8" wp14:editId="32567F94">
                  <wp:extent cx="3116580" cy="1584960"/>
                  <wp:effectExtent l="0" t="0" r="7620" b="0"/>
                  <wp:docPr id="12929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5057" name=""/>
                          <pic:cNvPicPr/>
                        </pic:nvPicPr>
                        <pic:blipFill>
                          <a:blip r:embed="rId8"/>
                          <a:stretch>
                            <a:fillRect/>
                          </a:stretch>
                        </pic:blipFill>
                        <pic:spPr>
                          <a:xfrm>
                            <a:off x="0" y="0"/>
                            <a:ext cx="3117025" cy="1585186"/>
                          </a:xfrm>
                          <a:prstGeom prst="rect">
                            <a:avLst/>
                          </a:prstGeom>
                        </pic:spPr>
                      </pic:pic>
                    </a:graphicData>
                  </a:graphic>
                </wp:inline>
              </w:drawing>
            </w:r>
            <w:r>
              <w:t xml:space="preserve"> </w:t>
            </w:r>
            <w:r w:rsidRPr="00E90B9B">
              <w:drawing>
                <wp:inline distT="0" distB="0" distL="0" distR="0" wp14:anchorId="23722076" wp14:editId="636DBC5B">
                  <wp:extent cx="3313042" cy="1607185"/>
                  <wp:effectExtent l="0" t="0" r="1905" b="0"/>
                  <wp:docPr id="7249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27806" name=""/>
                          <pic:cNvPicPr/>
                        </pic:nvPicPr>
                        <pic:blipFill>
                          <a:blip r:embed="rId9"/>
                          <a:stretch>
                            <a:fillRect/>
                          </a:stretch>
                        </pic:blipFill>
                        <pic:spPr>
                          <a:xfrm>
                            <a:off x="0" y="0"/>
                            <a:ext cx="3343433" cy="1621928"/>
                          </a:xfrm>
                          <a:prstGeom prst="rect">
                            <a:avLst/>
                          </a:prstGeom>
                        </pic:spPr>
                      </pic:pic>
                    </a:graphicData>
                  </a:graphic>
                </wp:inline>
              </w:drawing>
            </w:r>
          </w:p>
          <w:p w14:paraId="0C0893EC" w14:textId="3991E20C" w:rsidR="00036211" w:rsidRDefault="00036211" w:rsidP="00E90B9B">
            <w:pPr>
              <w:spacing w:before="40"/>
              <w:jc w:val="center"/>
            </w:pPr>
            <w:r w:rsidRPr="00036211">
              <w:drawing>
                <wp:inline distT="0" distB="0" distL="0" distR="0" wp14:anchorId="2C99BB8E" wp14:editId="51D7209F">
                  <wp:extent cx="5407964" cy="1737360"/>
                  <wp:effectExtent l="0" t="0" r="2540" b="0"/>
                  <wp:docPr id="16479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6113" name=""/>
                          <pic:cNvPicPr/>
                        </pic:nvPicPr>
                        <pic:blipFill>
                          <a:blip r:embed="rId10"/>
                          <a:stretch>
                            <a:fillRect/>
                          </a:stretch>
                        </pic:blipFill>
                        <pic:spPr>
                          <a:xfrm>
                            <a:off x="0" y="0"/>
                            <a:ext cx="5429117" cy="1744156"/>
                          </a:xfrm>
                          <a:prstGeom prst="rect">
                            <a:avLst/>
                          </a:prstGeom>
                        </pic:spPr>
                      </pic:pic>
                    </a:graphicData>
                  </a:graphic>
                </wp:inline>
              </w:drawing>
            </w:r>
          </w:p>
        </w:tc>
      </w:tr>
    </w:tbl>
    <w:p w14:paraId="2262ACA8" w14:textId="77777777" w:rsidR="004C28A3" w:rsidRDefault="00000000">
      <w:pPr>
        <w:pStyle w:val="Heading2"/>
        <w:spacing w:before="240" w:after="120"/>
      </w:pPr>
      <w:r>
        <w:rPr>
          <w:b/>
          <w:bCs/>
          <w:color w:val="1F3864"/>
          <w:sz w:val="24"/>
          <w:szCs w:val="24"/>
        </w:rPr>
        <w:lastRenderedPageBreak/>
        <w:t>5. Credit Policy Mix</w:t>
      </w:r>
    </w:p>
    <w:p w14:paraId="40152CBA" w14:textId="6699E2E7" w:rsidR="00036211" w:rsidRPr="00036211" w:rsidRDefault="00000000" w:rsidP="00036211">
      <w:pPr>
        <w:spacing w:after="140" w:line="300" w:lineRule="auto"/>
        <w:jc w:val="both"/>
        <w:rPr>
          <w:color w:val="262626"/>
          <w:sz w:val="22"/>
          <w:szCs w:val="22"/>
        </w:rPr>
      </w:pPr>
      <w:r w:rsidRPr="00036211">
        <w:rPr>
          <w:color w:val="262626"/>
          <w:sz w:val="22"/>
          <w:szCs w:val="22"/>
        </w:rPr>
        <w:t>The</w:t>
      </w:r>
      <w:r w:rsidR="00036211" w:rsidRPr="00036211">
        <w:rPr>
          <w:color w:val="262626"/>
          <w:sz w:val="22"/>
          <w:szCs w:val="22"/>
        </w:rPr>
        <w:t xml:space="preserve"> portfolio consists of </w:t>
      </w:r>
      <w:r w:rsidR="00036211" w:rsidRPr="00036211">
        <w:rPr>
          <w:b/>
          <w:bCs/>
          <w:color w:val="262626"/>
          <w:sz w:val="22"/>
          <w:szCs w:val="22"/>
        </w:rPr>
        <w:t>80.5% policy-compliant loans</w:t>
      </w:r>
      <w:r w:rsidR="00036211" w:rsidRPr="00036211">
        <w:rPr>
          <w:color w:val="262626"/>
          <w:sz w:val="22"/>
          <w:szCs w:val="22"/>
        </w:rPr>
        <w:t xml:space="preserve"> and </w:t>
      </w:r>
      <w:r w:rsidR="00036211" w:rsidRPr="00036211">
        <w:rPr>
          <w:b/>
          <w:bCs/>
          <w:color w:val="262626"/>
          <w:sz w:val="22"/>
          <w:szCs w:val="22"/>
        </w:rPr>
        <w:t>19.5% policy exception loans</w:t>
      </w:r>
      <w:r w:rsidR="00036211" w:rsidRPr="00036211">
        <w:rPr>
          <w:color w:val="262626"/>
          <w:sz w:val="22"/>
          <w:szCs w:val="22"/>
        </w:rPr>
        <w:t>. Policy exception loans represent borrowers who were approved despite not fully meeting the lender's standard credit criteria.</w:t>
      </w:r>
    </w:p>
    <w:p w14:paraId="3E31A0C7" w14:textId="38A2A251" w:rsidR="004C28A3" w:rsidRPr="00036211" w:rsidRDefault="00036211" w:rsidP="00036211">
      <w:pPr>
        <w:spacing w:after="140" w:line="300" w:lineRule="auto"/>
        <w:jc w:val="both"/>
        <w:rPr>
          <w:color w:val="262626"/>
          <w:sz w:val="22"/>
          <w:szCs w:val="22"/>
        </w:rPr>
      </w:pPr>
      <w:r w:rsidRPr="00036211">
        <w:rPr>
          <w:color w:val="262626"/>
          <w:sz w:val="22"/>
          <w:szCs w:val="22"/>
        </w:rPr>
        <w:t>Comparing the performance of these two groups helps evaluate the effectiveness of the credit policy. This analysis supports better underwriting decisions, risk-based pricing, and overall credit risk management.</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5"/>
      </w:tblGrid>
      <w:tr w:rsidR="004C28A3" w14:paraId="1B315FA8" w14:textId="77777777" w:rsidTr="00036211">
        <w:tblPrEx>
          <w:tblCellMar>
            <w:top w:w="0" w:type="dxa"/>
            <w:bottom w:w="0" w:type="dxa"/>
          </w:tblCellMar>
        </w:tblPrEx>
        <w:trPr>
          <w:trHeight w:val="1780"/>
        </w:trPr>
        <w:tc>
          <w:tcPr>
            <w:tcW w:w="10345" w:type="dxa"/>
            <w:tcBorders>
              <w:top w:val="dashed" w:sz="6" w:space="0" w:color="1F3864"/>
              <w:left w:val="dashed" w:sz="6" w:space="0" w:color="1F3864"/>
              <w:bottom w:val="dashed" w:sz="6" w:space="0" w:color="1F3864"/>
              <w:right w:val="dashed" w:sz="6" w:space="0" w:color="1F3864"/>
            </w:tcBorders>
            <w:shd w:val="clear" w:color="auto" w:fill="F2F5FB"/>
            <w:tcMar>
              <w:top w:w="260" w:type="dxa"/>
              <w:left w:w="200" w:type="dxa"/>
              <w:bottom w:w="260" w:type="dxa"/>
              <w:right w:w="200" w:type="dxa"/>
            </w:tcMar>
          </w:tcPr>
          <w:p w14:paraId="10F1BD00" w14:textId="1B358EBD" w:rsidR="004C28A3" w:rsidRDefault="00000000">
            <w:pPr>
              <w:jc w:val="center"/>
            </w:pPr>
            <w:r>
              <w:rPr>
                <w:b/>
                <w:bCs/>
                <w:color w:val="1F3864"/>
              </w:rPr>
              <w:t xml:space="preserve">GRAPH </w:t>
            </w:r>
            <w:r w:rsidR="00036211">
              <w:rPr>
                <w:b/>
                <w:bCs/>
                <w:color w:val="1F3864"/>
              </w:rPr>
              <w:t>- 05</w:t>
            </w:r>
          </w:p>
          <w:p w14:paraId="24EC6026" w14:textId="5F33CDF7" w:rsidR="004C28A3" w:rsidRDefault="00036211">
            <w:pPr>
              <w:spacing w:before="40"/>
              <w:jc w:val="center"/>
            </w:pPr>
            <w:r w:rsidRPr="00036211">
              <w:rPr>
                <w:i/>
                <w:iCs/>
                <w:color w:val="595959"/>
                <w:sz w:val="18"/>
                <w:szCs w:val="18"/>
              </w:rPr>
              <w:drawing>
                <wp:inline distT="0" distB="0" distL="0" distR="0" wp14:anchorId="617174C4" wp14:editId="1B69E19D">
                  <wp:extent cx="4328160" cy="2072640"/>
                  <wp:effectExtent l="0" t="0" r="0" b="3810"/>
                  <wp:docPr id="10591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32885" name=""/>
                          <pic:cNvPicPr/>
                        </pic:nvPicPr>
                        <pic:blipFill>
                          <a:blip r:embed="rId11"/>
                          <a:stretch>
                            <a:fillRect/>
                          </a:stretch>
                        </pic:blipFill>
                        <pic:spPr>
                          <a:xfrm>
                            <a:off x="0" y="0"/>
                            <a:ext cx="4362791" cy="2089224"/>
                          </a:xfrm>
                          <a:prstGeom prst="rect">
                            <a:avLst/>
                          </a:prstGeom>
                        </pic:spPr>
                      </pic:pic>
                    </a:graphicData>
                  </a:graphic>
                </wp:inline>
              </w:drawing>
            </w:r>
          </w:p>
        </w:tc>
      </w:tr>
    </w:tbl>
    <w:p w14:paraId="502F7F4E" w14:textId="77777777" w:rsidR="004C28A3" w:rsidRDefault="004C28A3">
      <w:pPr>
        <w:spacing w:after="250"/>
      </w:pPr>
    </w:p>
    <w:p w14:paraId="4933B3EB" w14:textId="77777777" w:rsidR="004C28A3" w:rsidRDefault="00000000">
      <w:pPr>
        <w:pStyle w:val="Heading2"/>
        <w:spacing w:before="240" w:after="120"/>
      </w:pPr>
      <w:r>
        <w:rPr>
          <w:b/>
          <w:bCs/>
          <w:color w:val="1F3864"/>
          <w:sz w:val="24"/>
          <w:szCs w:val="24"/>
        </w:rPr>
        <w:t>6. Recent Credit Inquiries</w:t>
      </w:r>
    </w:p>
    <w:p w14:paraId="4FFCF757" w14:textId="3B1D61E1" w:rsidR="00036211" w:rsidRPr="00036211" w:rsidRDefault="00036211" w:rsidP="00036211">
      <w:pPr>
        <w:spacing w:after="140" w:line="300" w:lineRule="auto"/>
        <w:jc w:val="both"/>
        <w:rPr>
          <w:color w:val="262626"/>
          <w:sz w:val="22"/>
          <w:szCs w:val="22"/>
        </w:rPr>
      </w:pPr>
      <w:r w:rsidRPr="00036211">
        <w:rPr>
          <w:color w:val="262626"/>
          <w:sz w:val="22"/>
          <w:szCs w:val="22"/>
        </w:rPr>
        <w:t xml:space="preserve">The number of </w:t>
      </w:r>
      <w:r w:rsidRPr="00036211">
        <w:rPr>
          <w:b/>
          <w:bCs/>
          <w:color w:val="262626"/>
          <w:sz w:val="22"/>
          <w:szCs w:val="22"/>
        </w:rPr>
        <w:t>recent credit inquiries</w:t>
      </w:r>
      <w:r w:rsidRPr="00036211">
        <w:rPr>
          <w:color w:val="262626"/>
          <w:sz w:val="22"/>
          <w:szCs w:val="22"/>
        </w:rPr>
        <w:t xml:space="preserve"> has a clear impact on loan default risk. Borrowers with fewer inquiries have lower default rates, while default rates increase as inquiry counts rise.</w:t>
      </w:r>
    </w:p>
    <w:p w14:paraId="2465F7BB" w14:textId="0575CD54" w:rsidR="004C28A3" w:rsidRPr="00036211" w:rsidRDefault="00036211" w:rsidP="00036211">
      <w:pPr>
        <w:spacing w:after="140" w:line="300" w:lineRule="auto"/>
        <w:jc w:val="both"/>
        <w:rPr>
          <w:color w:val="262626"/>
          <w:sz w:val="22"/>
          <w:szCs w:val="22"/>
        </w:rPr>
      </w:pPr>
      <w:r w:rsidRPr="00036211">
        <w:rPr>
          <w:color w:val="262626"/>
          <w:sz w:val="22"/>
          <w:szCs w:val="22"/>
        </w:rPr>
        <w:t>Although borrowers with very high inquiry counts represent a small sample, the overall trend shows that frequent credit inquiries are a useful early indicator of higher credit risk and should be considered during loan approval.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24"/>
      </w:tblGrid>
      <w:tr w:rsidR="004C28A3" w14:paraId="68400F8A" w14:textId="77777777">
        <w:tblPrEx>
          <w:tblCellMar>
            <w:top w:w="0" w:type="dxa"/>
            <w:bottom w:w="0" w:type="dxa"/>
          </w:tblCellMar>
        </w:tblPrEx>
        <w:tc>
          <w:tcPr>
            <w:tcW w:w="9350" w:type="dxa"/>
            <w:tcBorders>
              <w:top w:val="dashed" w:sz="6" w:space="0" w:color="1F3864"/>
              <w:left w:val="dashed" w:sz="6" w:space="0" w:color="1F3864"/>
              <w:bottom w:val="dashed" w:sz="6" w:space="0" w:color="1F3864"/>
              <w:right w:val="dashed" w:sz="6" w:space="0" w:color="1F3864"/>
            </w:tcBorders>
            <w:shd w:val="clear" w:color="auto" w:fill="F2F5FB"/>
            <w:tcMar>
              <w:top w:w="260" w:type="dxa"/>
              <w:left w:w="200" w:type="dxa"/>
              <w:bottom w:w="260" w:type="dxa"/>
              <w:right w:w="200" w:type="dxa"/>
            </w:tcMar>
          </w:tcPr>
          <w:p w14:paraId="76DD82A5" w14:textId="6FF32202" w:rsidR="004C28A3" w:rsidRDefault="00000000">
            <w:pPr>
              <w:jc w:val="center"/>
            </w:pPr>
            <w:r>
              <w:rPr>
                <w:b/>
                <w:bCs/>
                <w:color w:val="1F3864"/>
              </w:rPr>
              <w:t xml:space="preserve">GRAPH </w:t>
            </w:r>
            <w:r w:rsidR="00036211">
              <w:rPr>
                <w:b/>
                <w:bCs/>
                <w:color w:val="1F3864"/>
              </w:rPr>
              <w:t>- 06</w:t>
            </w:r>
          </w:p>
          <w:p w14:paraId="2AE9D93F" w14:textId="1DE47280" w:rsidR="004C28A3" w:rsidRDefault="00036211">
            <w:pPr>
              <w:spacing w:before="40"/>
              <w:jc w:val="center"/>
            </w:pPr>
            <w:r w:rsidRPr="00036211">
              <w:drawing>
                <wp:inline distT="0" distB="0" distL="0" distR="0" wp14:anchorId="600950C5" wp14:editId="1F6E2828">
                  <wp:extent cx="6629400" cy="2529840"/>
                  <wp:effectExtent l="0" t="0" r="0" b="3810"/>
                  <wp:docPr id="211260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9031" name=""/>
                          <pic:cNvPicPr/>
                        </pic:nvPicPr>
                        <pic:blipFill>
                          <a:blip r:embed="rId12"/>
                          <a:stretch>
                            <a:fillRect/>
                          </a:stretch>
                        </pic:blipFill>
                        <pic:spPr>
                          <a:xfrm>
                            <a:off x="0" y="0"/>
                            <a:ext cx="6629400" cy="2529840"/>
                          </a:xfrm>
                          <a:prstGeom prst="rect">
                            <a:avLst/>
                          </a:prstGeom>
                        </pic:spPr>
                      </pic:pic>
                    </a:graphicData>
                  </a:graphic>
                </wp:inline>
              </w:drawing>
            </w:r>
          </w:p>
        </w:tc>
      </w:tr>
    </w:tbl>
    <w:p w14:paraId="7CA1102C" w14:textId="77777777" w:rsidR="004C28A3" w:rsidRDefault="004C28A3">
      <w:pPr>
        <w:spacing w:after="250"/>
      </w:pPr>
    </w:p>
    <w:p w14:paraId="49F66F88" w14:textId="77777777" w:rsidR="004C28A3" w:rsidRDefault="00000000" w:rsidP="008439F8">
      <w:pPr>
        <w:pStyle w:val="Heading2"/>
        <w:spacing w:before="240" w:after="120"/>
        <w:jc w:val="both"/>
      </w:pPr>
      <w:r>
        <w:rPr>
          <w:b/>
          <w:bCs/>
          <w:color w:val="1F3864"/>
          <w:sz w:val="24"/>
          <w:szCs w:val="24"/>
        </w:rPr>
        <w:lastRenderedPageBreak/>
        <w:t>7. Key Insights</w:t>
      </w:r>
    </w:p>
    <w:p w14:paraId="5EEA6AA9" w14:textId="18C0E23B" w:rsidR="00036211" w:rsidRDefault="00036211" w:rsidP="008439F8">
      <w:pPr>
        <w:jc w:val="both"/>
        <w:rPr>
          <w:color w:val="262626"/>
          <w:sz w:val="21"/>
          <w:szCs w:val="21"/>
        </w:rPr>
      </w:pPr>
      <w:r w:rsidRPr="00036211">
        <w:rPr>
          <w:color w:val="262626"/>
          <w:sz w:val="21"/>
          <w:szCs w:val="21"/>
        </w:rPr>
        <w:t>The analysis identifies a small number of borrower characteristics that consistently explain loan default risk across the portfolio. These findings provide a clear basis for improving lending decisions and strengthening credit risk management.</w:t>
      </w:r>
    </w:p>
    <w:p w14:paraId="7AB86627" w14:textId="77777777" w:rsidR="008439F8" w:rsidRPr="00036211" w:rsidRDefault="008439F8" w:rsidP="008439F8">
      <w:pPr>
        <w:jc w:val="both"/>
        <w:rPr>
          <w:color w:val="262626"/>
          <w:sz w:val="21"/>
          <w:szCs w:val="21"/>
        </w:rPr>
      </w:pPr>
    </w:p>
    <w:p w14:paraId="620AC9AE" w14:textId="77777777" w:rsidR="00036211" w:rsidRPr="00036211" w:rsidRDefault="00036211" w:rsidP="008439F8">
      <w:pPr>
        <w:numPr>
          <w:ilvl w:val="0"/>
          <w:numId w:val="2"/>
        </w:numPr>
        <w:spacing w:line="360" w:lineRule="auto"/>
        <w:jc w:val="both"/>
        <w:rPr>
          <w:color w:val="262626"/>
          <w:sz w:val="21"/>
          <w:szCs w:val="21"/>
        </w:rPr>
      </w:pPr>
      <w:r w:rsidRPr="00036211">
        <w:rPr>
          <w:b/>
          <w:bCs/>
          <w:color w:val="262626"/>
          <w:sz w:val="21"/>
          <w:szCs w:val="21"/>
        </w:rPr>
        <w:t>Loan purpose, FICO score, and recent credit inquiries</w:t>
      </w:r>
      <w:r w:rsidRPr="00036211">
        <w:rPr>
          <w:color w:val="262626"/>
          <w:sz w:val="21"/>
          <w:szCs w:val="21"/>
        </w:rPr>
        <w:t xml:space="preserve"> are the strongest predictors of loan default.</w:t>
      </w:r>
    </w:p>
    <w:p w14:paraId="52E814D1" w14:textId="77777777" w:rsidR="00036211" w:rsidRPr="00036211" w:rsidRDefault="00036211" w:rsidP="008439F8">
      <w:pPr>
        <w:numPr>
          <w:ilvl w:val="0"/>
          <w:numId w:val="2"/>
        </w:numPr>
        <w:spacing w:line="360" w:lineRule="auto"/>
        <w:jc w:val="both"/>
        <w:rPr>
          <w:color w:val="262626"/>
          <w:sz w:val="21"/>
          <w:szCs w:val="21"/>
        </w:rPr>
      </w:pPr>
      <w:r w:rsidRPr="00036211">
        <w:rPr>
          <w:b/>
          <w:bCs/>
          <w:color w:val="262626"/>
          <w:sz w:val="21"/>
          <w:szCs w:val="21"/>
        </w:rPr>
        <w:t>Small business (27.79%)</w:t>
      </w:r>
      <w:r w:rsidRPr="00036211">
        <w:rPr>
          <w:color w:val="262626"/>
          <w:sz w:val="21"/>
          <w:szCs w:val="21"/>
        </w:rPr>
        <w:t xml:space="preserve"> and </w:t>
      </w:r>
      <w:r w:rsidRPr="00036211">
        <w:rPr>
          <w:b/>
          <w:bCs/>
          <w:color w:val="262626"/>
          <w:sz w:val="21"/>
          <w:szCs w:val="21"/>
        </w:rPr>
        <w:t>educational (20.12%)</w:t>
      </w:r>
      <w:r w:rsidRPr="00036211">
        <w:rPr>
          <w:color w:val="262626"/>
          <w:sz w:val="21"/>
          <w:szCs w:val="21"/>
        </w:rPr>
        <w:t xml:space="preserve"> loans have the highest default rates and require stricter underwriting.</w:t>
      </w:r>
    </w:p>
    <w:p w14:paraId="2C737264" w14:textId="77777777" w:rsidR="00036211" w:rsidRPr="00036211" w:rsidRDefault="00036211" w:rsidP="008439F8">
      <w:pPr>
        <w:numPr>
          <w:ilvl w:val="0"/>
          <w:numId w:val="2"/>
        </w:numPr>
        <w:spacing w:line="360" w:lineRule="auto"/>
        <w:jc w:val="both"/>
        <w:rPr>
          <w:color w:val="262626"/>
          <w:sz w:val="21"/>
          <w:szCs w:val="21"/>
        </w:rPr>
      </w:pPr>
      <w:r w:rsidRPr="00036211">
        <w:rPr>
          <w:b/>
          <w:bCs/>
          <w:color w:val="262626"/>
          <w:sz w:val="21"/>
          <w:szCs w:val="21"/>
        </w:rPr>
        <w:t xml:space="preserve">Low-FICO </w:t>
      </w:r>
      <w:proofErr w:type="gramStart"/>
      <w:r w:rsidRPr="00036211">
        <w:rPr>
          <w:b/>
          <w:bCs/>
          <w:color w:val="262626"/>
          <w:sz w:val="21"/>
          <w:szCs w:val="21"/>
        </w:rPr>
        <w:t>borrowers</w:t>
      </w:r>
      <w:proofErr w:type="gramEnd"/>
      <w:r w:rsidRPr="00036211">
        <w:rPr>
          <w:color w:val="262626"/>
          <w:sz w:val="21"/>
          <w:szCs w:val="21"/>
        </w:rPr>
        <w:t xml:space="preserve"> default at </w:t>
      </w:r>
      <w:r w:rsidRPr="00036211">
        <w:rPr>
          <w:b/>
          <w:bCs/>
          <w:color w:val="262626"/>
          <w:sz w:val="21"/>
          <w:szCs w:val="21"/>
        </w:rPr>
        <w:t>23.62%</w:t>
      </w:r>
      <w:r w:rsidRPr="00036211">
        <w:rPr>
          <w:color w:val="262626"/>
          <w:sz w:val="21"/>
          <w:szCs w:val="21"/>
        </w:rPr>
        <w:t xml:space="preserve">, compared with </w:t>
      </w:r>
      <w:r w:rsidRPr="00036211">
        <w:rPr>
          <w:b/>
          <w:bCs/>
          <w:color w:val="262626"/>
          <w:sz w:val="21"/>
          <w:szCs w:val="21"/>
        </w:rPr>
        <w:t>7.43%</w:t>
      </w:r>
      <w:r w:rsidRPr="00036211">
        <w:rPr>
          <w:color w:val="262626"/>
          <w:sz w:val="21"/>
          <w:szCs w:val="21"/>
        </w:rPr>
        <w:t xml:space="preserve"> for high-FICO borrowers, making credit score the most reliable risk indicator.</w:t>
      </w:r>
    </w:p>
    <w:p w14:paraId="63F81F59" w14:textId="77777777" w:rsidR="00036211" w:rsidRPr="00036211" w:rsidRDefault="00036211" w:rsidP="008439F8">
      <w:pPr>
        <w:numPr>
          <w:ilvl w:val="0"/>
          <w:numId w:val="2"/>
        </w:numPr>
        <w:spacing w:line="360" w:lineRule="auto"/>
        <w:jc w:val="both"/>
        <w:rPr>
          <w:color w:val="262626"/>
          <w:sz w:val="21"/>
          <w:szCs w:val="21"/>
        </w:rPr>
      </w:pPr>
      <w:r w:rsidRPr="00036211">
        <w:rPr>
          <w:color w:val="262626"/>
          <w:sz w:val="21"/>
          <w:szCs w:val="21"/>
        </w:rPr>
        <w:t xml:space="preserve">Borrowers with </w:t>
      </w:r>
      <w:r w:rsidRPr="00036211">
        <w:rPr>
          <w:b/>
          <w:bCs/>
          <w:color w:val="262626"/>
          <w:sz w:val="21"/>
          <w:szCs w:val="21"/>
        </w:rPr>
        <w:t>high DTI (18.33%)</w:t>
      </w:r>
      <w:r w:rsidRPr="00036211">
        <w:rPr>
          <w:color w:val="262626"/>
          <w:sz w:val="21"/>
          <w:szCs w:val="21"/>
        </w:rPr>
        <w:t xml:space="preserve"> and </w:t>
      </w:r>
      <w:r w:rsidRPr="00036211">
        <w:rPr>
          <w:b/>
          <w:bCs/>
          <w:color w:val="262626"/>
          <w:sz w:val="21"/>
          <w:szCs w:val="21"/>
        </w:rPr>
        <w:t>high revolving credit utilization (18.97%)</w:t>
      </w:r>
      <w:r w:rsidRPr="00036211">
        <w:rPr>
          <w:color w:val="262626"/>
          <w:sz w:val="21"/>
          <w:szCs w:val="21"/>
        </w:rPr>
        <w:t xml:space="preserve"> also exhibit above-average default risk.</w:t>
      </w:r>
    </w:p>
    <w:p w14:paraId="40D77BF0" w14:textId="77777777" w:rsidR="00036211" w:rsidRPr="00036211" w:rsidRDefault="00036211" w:rsidP="008439F8">
      <w:pPr>
        <w:numPr>
          <w:ilvl w:val="0"/>
          <w:numId w:val="2"/>
        </w:numPr>
        <w:spacing w:line="360" w:lineRule="auto"/>
        <w:jc w:val="both"/>
        <w:rPr>
          <w:color w:val="262626"/>
          <w:sz w:val="21"/>
          <w:szCs w:val="21"/>
        </w:rPr>
      </w:pPr>
      <w:r w:rsidRPr="00036211">
        <w:rPr>
          <w:color w:val="262626"/>
          <w:sz w:val="21"/>
          <w:szCs w:val="21"/>
        </w:rPr>
        <w:t xml:space="preserve">Borrowers with </w:t>
      </w:r>
      <w:r w:rsidRPr="00036211">
        <w:rPr>
          <w:b/>
          <w:bCs/>
          <w:color w:val="262626"/>
          <w:sz w:val="21"/>
          <w:szCs w:val="21"/>
        </w:rPr>
        <w:t>10 or more recent credit inquiries</w:t>
      </w:r>
      <w:r w:rsidRPr="00036211">
        <w:rPr>
          <w:color w:val="262626"/>
          <w:sz w:val="21"/>
          <w:szCs w:val="21"/>
        </w:rPr>
        <w:t xml:space="preserve"> show significantly higher default rates and should undergo additional credit assessment.</w:t>
      </w:r>
    </w:p>
    <w:p w14:paraId="25BA8187" w14:textId="77777777" w:rsidR="00036211" w:rsidRPr="00036211" w:rsidRDefault="00036211" w:rsidP="008439F8">
      <w:pPr>
        <w:numPr>
          <w:ilvl w:val="0"/>
          <w:numId w:val="2"/>
        </w:numPr>
        <w:spacing w:line="360" w:lineRule="auto"/>
        <w:jc w:val="both"/>
        <w:rPr>
          <w:color w:val="262626"/>
          <w:sz w:val="21"/>
          <w:szCs w:val="21"/>
        </w:rPr>
      </w:pPr>
      <w:r w:rsidRPr="00036211">
        <w:rPr>
          <w:color w:val="262626"/>
          <w:sz w:val="21"/>
          <w:szCs w:val="21"/>
        </w:rPr>
        <w:t xml:space="preserve">The </w:t>
      </w:r>
      <w:r w:rsidRPr="00036211">
        <w:rPr>
          <w:b/>
          <w:bCs/>
          <w:color w:val="262626"/>
          <w:sz w:val="21"/>
          <w:szCs w:val="21"/>
        </w:rPr>
        <w:t>19.5% policy-exception</w:t>
      </w:r>
      <w:r w:rsidRPr="00036211">
        <w:rPr>
          <w:color w:val="262626"/>
          <w:sz w:val="21"/>
          <w:szCs w:val="21"/>
        </w:rPr>
        <w:t xml:space="preserve"> loan segment should be monitored separately to evaluate the effectiveness of underwriting policies over time.</w:t>
      </w:r>
    </w:p>
    <w:p w14:paraId="4B5C5773" w14:textId="77777777" w:rsidR="004C28A3" w:rsidRDefault="004C28A3" w:rsidP="008439F8">
      <w:pPr>
        <w:spacing w:after="250"/>
        <w:jc w:val="both"/>
      </w:pPr>
    </w:p>
    <w:p w14:paraId="3093A933" w14:textId="77777777" w:rsidR="004C28A3" w:rsidRDefault="00000000" w:rsidP="008439F8">
      <w:pPr>
        <w:pStyle w:val="Heading2"/>
        <w:spacing w:before="240" w:after="120"/>
        <w:jc w:val="both"/>
      </w:pPr>
      <w:r>
        <w:rPr>
          <w:b/>
          <w:bCs/>
          <w:color w:val="1F3864"/>
          <w:sz w:val="24"/>
          <w:szCs w:val="24"/>
        </w:rPr>
        <w:t>8. Recommendations</w:t>
      </w:r>
    </w:p>
    <w:p w14:paraId="66601288" w14:textId="57DB131A" w:rsidR="008439F8" w:rsidRDefault="00000000" w:rsidP="008439F8">
      <w:pPr>
        <w:spacing w:after="140"/>
        <w:jc w:val="both"/>
        <w:rPr>
          <w:color w:val="262626"/>
          <w:sz w:val="21"/>
          <w:szCs w:val="21"/>
        </w:rPr>
      </w:pPr>
      <w:r>
        <w:rPr>
          <w:color w:val="262626"/>
          <w:sz w:val="21"/>
          <w:szCs w:val="21"/>
        </w:rPr>
        <w:t>Based</w:t>
      </w:r>
      <w:r w:rsidR="008439F8" w:rsidRPr="008439F8">
        <w:rPr>
          <w:color w:val="262626"/>
          <w:sz w:val="21"/>
          <w:szCs w:val="21"/>
        </w:rPr>
        <w:t xml:space="preserve"> on the findings of this analysis, the following recommendations can help reduce loan defaults while maintaining healthy portfolio growth. These actions focus on strengthening underwriting practices, improving risk assessment, and applying more effective pricing strategies.</w:t>
      </w:r>
    </w:p>
    <w:p w14:paraId="2D1FD336" w14:textId="77777777" w:rsidR="008439F8" w:rsidRPr="008439F8" w:rsidRDefault="008439F8" w:rsidP="008439F8">
      <w:pPr>
        <w:spacing w:after="140"/>
        <w:jc w:val="both"/>
        <w:rPr>
          <w:color w:val="262626"/>
          <w:sz w:val="21"/>
          <w:szCs w:val="21"/>
        </w:rPr>
      </w:pPr>
    </w:p>
    <w:p w14:paraId="0EB3C71F" w14:textId="77777777" w:rsidR="008439F8" w:rsidRPr="008439F8" w:rsidRDefault="008439F8" w:rsidP="008439F8">
      <w:pPr>
        <w:numPr>
          <w:ilvl w:val="0"/>
          <w:numId w:val="3"/>
        </w:numPr>
        <w:spacing w:after="140" w:line="360" w:lineRule="auto"/>
        <w:jc w:val="both"/>
        <w:rPr>
          <w:color w:val="262626"/>
          <w:sz w:val="21"/>
          <w:szCs w:val="21"/>
        </w:rPr>
      </w:pPr>
      <w:r w:rsidRPr="008439F8">
        <w:rPr>
          <w:color w:val="262626"/>
          <w:sz w:val="21"/>
          <w:szCs w:val="21"/>
        </w:rPr>
        <w:t xml:space="preserve">Apply </w:t>
      </w:r>
      <w:r w:rsidRPr="008439F8">
        <w:rPr>
          <w:b/>
          <w:bCs/>
          <w:color w:val="262626"/>
          <w:sz w:val="21"/>
          <w:szCs w:val="21"/>
        </w:rPr>
        <w:t>risk-based pricing</w:t>
      </w:r>
      <w:r w:rsidRPr="008439F8">
        <w:rPr>
          <w:color w:val="262626"/>
          <w:sz w:val="21"/>
          <w:szCs w:val="21"/>
        </w:rPr>
        <w:t xml:space="preserve"> for </w:t>
      </w:r>
      <w:r w:rsidRPr="008439F8">
        <w:rPr>
          <w:b/>
          <w:bCs/>
          <w:color w:val="262626"/>
          <w:sz w:val="21"/>
          <w:szCs w:val="21"/>
        </w:rPr>
        <w:t>small business</w:t>
      </w:r>
      <w:r w:rsidRPr="008439F8">
        <w:rPr>
          <w:color w:val="262626"/>
          <w:sz w:val="21"/>
          <w:szCs w:val="21"/>
        </w:rPr>
        <w:t xml:space="preserve"> and </w:t>
      </w:r>
      <w:r w:rsidRPr="008439F8">
        <w:rPr>
          <w:b/>
          <w:bCs/>
          <w:color w:val="262626"/>
          <w:sz w:val="21"/>
          <w:szCs w:val="21"/>
        </w:rPr>
        <w:t>educational loans</w:t>
      </w:r>
      <w:r w:rsidRPr="008439F8">
        <w:rPr>
          <w:color w:val="262626"/>
          <w:sz w:val="21"/>
          <w:szCs w:val="21"/>
        </w:rPr>
        <w:t>, as these categories have the highest observed default rates.</w:t>
      </w:r>
    </w:p>
    <w:p w14:paraId="21EAB054" w14:textId="77777777" w:rsidR="008439F8" w:rsidRPr="008439F8" w:rsidRDefault="008439F8" w:rsidP="008439F8">
      <w:pPr>
        <w:numPr>
          <w:ilvl w:val="0"/>
          <w:numId w:val="3"/>
        </w:numPr>
        <w:spacing w:after="140" w:line="360" w:lineRule="auto"/>
        <w:jc w:val="both"/>
        <w:rPr>
          <w:color w:val="262626"/>
          <w:sz w:val="21"/>
          <w:szCs w:val="21"/>
        </w:rPr>
      </w:pPr>
      <w:r w:rsidRPr="008439F8">
        <w:rPr>
          <w:color w:val="262626"/>
          <w:sz w:val="21"/>
          <w:szCs w:val="21"/>
        </w:rPr>
        <w:t xml:space="preserve">Use </w:t>
      </w:r>
      <w:r w:rsidRPr="008439F8">
        <w:rPr>
          <w:b/>
          <w:bCs/>
          <w:color w:val="262626"/>
          <w:sz w:val="21"/>
          <w:szCs w:val="21"/>
        </w:rPr>
        <w:t>minimum FICO score</w:t>
      </w:r>
      <w:r w:rsidRPr="008439F8">
        <w:rPr>
          <w:color w:val="262626"/>
          <w:sz w:val="21"/>
          <w:szCs w:val="21"/>
        </w:rPr>
        <w:t xml:space="preserve"> and </w:t>
      </w:r>
      <w:r w:rsidRPr="008439F8">
        <w:rPr>
          <w:b/>
          <w:bCs/>
          <w:color w:val="262626"/>
          <w:sz w:val="21"/>
          <w:szCs w:val="21"/>
        </w:rPr>
        <w:t>maximum DTI thresholds</w:t>
      </w:r>
      <w:r w:rsidRPr="008439F8">
        <w:rPr>
          <w:color w:val="262626"/>
          <w:sz w:val="21"/>
          <w:szCs w:val="21"/>
        </w:rPr>
        <w:t xml:space="preserve"> for automatic approvals, while routing borderline applications for manual review.</w:t>
      </w:r>
    </w:p>
    <w:p w14:paraId="437B459B" w14:textId="77777777" w:rsidR="008439F8" w:rsidRPr="008439F8" w:rsidRDefault="008439F8" w:rsidP="008439F8">
      <w:pPr>
        <w:numPr>
          <w:ilvl w:val="0"/>
          <w:numId w:val="3"/>
        </w:numPr>
        <w:spacing w:after="140" w:line="360" w:lineRule="auto"/>
        <w:jc w:val="both"/>
        <w:rPr>
          <w:color w:val="262626"/>
          <w:sz w:val="21"/>
          <w:szCs w:val="21"/>
        </w:rPr>
      </w:pPr>
      <w:r w:rsidRPr="008439F8">
        <w:rPr>
          <w:color w:val="262626"/>
          <w:sz w:val="21"/>
          <w:szCs w:val="21"/>
        </w:rPr>
        <w:t xml:space="preserve">Flag borrowers with </w:t>
      </w:r>
      <w:r w:rsidRPr="008439F8">
        <w:rPr>
          <w:b/>
          <w:bCs/>
          <w:color w:val="262626"/>
          <w:sz w:val="21"/>
          <w:szCs w:val="21"/>
        </w:rPr>
        <w:t>more than 5–6 recent credit inquiries</w:t>
      </w:r>
      <w:r w:rsidRPr="008439F8">
        <w:rPr>
          <w:color w:val="262626"/>
          <w:sz w:val="21"/>
          <w:szCs w:val="21"/>
        </w:rPr>
        <w:t xml:space="preserve"> for additional verification before approving a loan.</w:t>
      </w:r>
    </w:p>
    <w:p w14:paraId="6B2A22E6" w14:textId="77777777" w:rsidR="008439F8" w:rsidRPr="008439F8" w:rsidRDefault="008439F8" w:rsidP="008439F8">
      <w:pPr>
        <w:numPr>
          <w:ilvl w:val="0"/>
          <w:numId w:val="3"/>
        </w:numPr>
        <w:spacing w:after="140" w:line="360" w:lineRule="auto"/>
        <w:jc w:val="both"/>
        <w:rPr>
          <w:color w:val="262626"/>
          <w:sz w:val="21"/>
          <w:szCs w:val="21"/>
        </w:rPr>
      </w:pPr>
      <w:r w:rsidRPr="008439F8">
        <w:rPr>
          <w:color w:val="262626"/>
          <w:sz w:val="21"/>
          <w:szCs w:val="21"/>
        </w:rPr>
        <w:t xml:space="preserve">Monitor </w:t>
      </w:r>
      <w:r w:rsidRPr="008439F8">
        <w:rPr>
          <w:b/>
          <w:bCs/>
          <w:color w:val="262626"/>
          <w:sz w:val="21"/>
          <w:szCs w:val="21"/>
        </w:rPr>
        <w:t>policy-exception loans</w:t>
      </w:r>
      <w:r w:rsidRPr="008439F8">
        <w:rPr>
          <w:color w:val="262626"/>
          <w:sz w:val="21"/>
          <w:szCs w:val="21"/>
        </w:rPr>
        <w:t xml:space="preserve"> separately and review their performance regularly to assess the effectiveness of current underwriting standards.</w:t>
      </w:r>
    </w:p>
    <w:p w14:paraId="4A89B85B" w14:textId="77777777" w:rsidR="008439F8" w:rsidRPr="008439F8" w:rsidRDefault="008439F8" w:rsidP="008439F8">
      <w:pPr>
        <w:numPr>
          <w:ilvl w:val="0"/>
          <w:numId w:val="3"/>
        </w:numPr>
        <w:spacing w:after="140" w:line="360" w:lineRule="auto"/>
        <w:jc w:val="both"/>
        <w:rPr>
          <w:color w:val="262626"/>
          <w:sz w:val="21"/>
          <w:szCs w:val="21"/>
        </w:rPr>
      </w:pPr>
      <w:r w:rsidRPr="008439F8">
        <w:rPr>
          <w:color w:val="262626"/>
          <w:sz w:val="21"/>
          <w:szCs w:val="21"/>
        </w:rPr>
        <w:t xml:space="preserve">Include </w:t>
      </w:r>
      <w:r w:rsidRPr="008439F8">
        <w:rPr>
          <w:b/>
          <w:bCs/>
          <w:color w:val="262626"/>
          <w:sz w:val="21"/>
          <w:szCs w:val="21"/>
        </w:rPr>
        <w:t>revolving credit utilization</w:t>
      </w:r>
      <w:r w:rsidRPr="008439F8">
        <w:rPr>
          <w:color w:val="262626"/>
          <w:sz w:val="21"/>
          <w:szCs w:val="21"/>
        </w:rPr>
        <w:t xml:space="preserve"> along with </w:t>
      </w:r>
      <w:r w:rsidRPr="008439F8">
        <w:rPr>
          <w:b/>
          <w:bCs/>
          <w:color w:val="262626"/>
          <w:sz w:val="21"/>
          <w:szCs w:val="21"/>
        </w:rPr>
        <w:t>FICO score</w:t>
      </w:r>
      <w:r w:rsidRPr="008439F8">
        <w:rPr>
          <w:color w:val="262626"/>
          <w:sz w:val="21"/>
          <w:szCs w:val="21"/>
        </w:rPr>
        <w:t xml:space="preserve"> and </w:t>
      </w:r>
      <w:r w:rsidRPr="008439F8">
        <w:rPr>
          <w:b/>
          <w:bCs/>
          <w:color w:val="262626"/>
          <w:sz w:val="21"/>
          <w:szCs w:val="21"/>
        </w:rPr>
        <w:t>DTI ratio</w:t>
      </w:r>
      <w:r w:rsidRPr="008439F8">
        <w:rPr>
          <w:color w:val="262626"/>
          <w:sz w:val="21"/>
          <w:szCs w:val="21"/>
        </w:rPr>
        <w:t xml:space="preserve"> when evaluating borrower risk.</w:t>
      </w:r>
    </w:p>
    <w:p w14:paraId="20725CFE" w14:textId="77777777" w:rsidR="008439F8" w:rsidRPr="008439F8" w:rsidRDefault="008439F8" w:rsidP="008439F8">
      <w:pPr>
        <w:numPr>
          <w:ilvl w:val="0"/>
          <w:numId w:val="3"/>
        </w:numPr>
        <w:spacing w:after="140" w:line="360" w:lineRule="auto"/>
        <w:jc w:val="both"/>
        <w:rPr>
          <w:color w:val="262626"/>
          <w:sz w:val="21"/>
          <w:szCs w:val="21"/>
        </w:rPr>
      </w:pPr>
      <w:r w:rsidRPr="008439F8">
        <w:rPr>
          <w:color w:val="262626"/>
          <w:sz w:val="21"/>
          <w:szCs w:val="21"/>
        </w:rPr>
        <w:t xml:space="preserve">Develop a </w:t>
      </w:r>
      <w:r w:rsidRPr="008439F8">
        <w:rPr>
          <w:b/>
          <w:bCs/>
          <w:color w:val="262626"/>
          <w:sz w:val="21"/>
          <w:szCs w:val="21"/>
        </w:rPr>
        <w:t>composite credit risk score</w:t>
      </w:r>
      <w:r w:rsidRPr="008439F8">
        <w:rPr>
          <w:color w:val="262626"/>
          <w:sz w:val="21"/>
          <w:szCs w:val="21"/>
        </w:rPr>
        <w:t xml:space="preserve"> by combining </w:t>
      </w:r>
      <w:r w:rsidRPr="008439F8">
        <w:rPr>
          <w:b/>
          <w:bCs/>
          <w:color w:val="262626"/>
          <w:sz w:val="21"/>
          <w:szCs w:val="21"/>
        </w:rPr>
        <w:t>FICO, DTI, revolving utilization, and recent credit inquiries</w:t>
      </w:r>
      <w:r w:rsidRPr="008439F8">
        <w:rPr>
          <w:color w:val="262626"/>
          <w:sz w:val="21"/>
          <w:szCs w:val="21"/>
        </w:rPr>
        <w:t xml:space="preserve"> to improve default prediction and support more accurate lending decisions.</w:t>
      </w:r>
    </w:p>
    <w:p w14:paraId="34F909A0" w14:textId="5E663F42" w:rsidR="004C28A3" w:rsidRDefault="004C28A3" w:rsidP="008439F8">
      <w:pPr>
        <w:spacing w:after="140" w:line="300" w:lineRule="auto"/>
      </w:pPr>
    </w:p>
    <w:p w14:paraId="2094B399" w14:textId="77777777" w:rsidR="0067546B" w:rsidRDefault="0067546B"/>
    <w:sectPr w:rsidR="0067546B">
      <w:headerReference w:type="default" r:id="rId13"/>
      <w:footerReference w:type="default" r:id="rId14"/>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A027" w14:textId="77777777" w:rsidR="0067546B" w:rsidRDefault="0067546B">
      <w:r>
        <w:separator/>
      </w:r>
    </w:p>
  </w:endnote>
  <w:endnote w:type="continuationSeparator" w:id="0">
    <w:p w14:paraId="31458EDA" w14:textId="77777777" w:rsidR="0067546B" w:rsidRDefault="0067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90B9" w14:textId="77777777" w:rsidR="004C28A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E3B2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601B" w14:textId="77777777" w:rsidR="0067546B" w:rsidRDefault="0067546B">
      <w:r>
        <w:separator/>
      </w:r>
    </w:p>
  </w:footnote>
  <w:footnote w:type="continuationSeparator" w:id="0">
    <w:p w14:paraId="26791DAD" w14:textId="77777777" w:rsidR="0067546B" w:rsidRDefault="0067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C0F4" w14:textId="77777777" w:rsidR="004C28A3" w:rsidRDefault="00000000">
    <w:pPr>
      <w:jc w:val="right"/>
      <w:rPr>
        <w:i/>
        <w:iCs/>
        <w:color w:val="595959"/>
        <w:sz w:val="16"/>
        <w:szCs w:val="16"/>
      </w:rPr>
    </w:pPr>
    <w:r>
      <w:rPr>
        <w:i/>
        <w:iCs/>
        <w:color w:val="595959"/>
        <w:sz w:val="16"/>
        <w:szCs w:val="16"/>
      </w:rPr>
      <w:t>Loan Default Risk Analysis</w:t>
    </w:r>
  </w:p>
  <w:p w14:paraId="3C334543" w14:textId="77777777" w:rsidR="000E3B22" w:rsidRDefault="000E3B2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3520E"/>
    <w:multiLevelType w:val="multilevel"/>
    <w:tmpl w:val="3D0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21715"/>
    <w:multiLevelType w:val="hybridMultilevel"/>
    <w:tmpl w:val="38E053F8"/>
    <w:lvl w:ilvl="0" w:tplc="D55CA4F2">
      <w:start w:val="1"/>
      <w:numFmt w:val="bullet"/>
      <w:lvlText w:val="●"/>
      <w:lvlJc w:val="left"/>
      <w:pPr>
        <w:ind w:left="720" w:hanging="360"/>
      </w:pPr>
    </w:lvl>
    <w:lvl w:ilvl="1" w:tplc="6396016C">
      <w:start w:val="1"/>
      <w:numFmt w:val="bullet"/>
      <w:lvlText w:val="○"/>
      <w:lvlJc w:val="left"/>
      <w:pPr>
        <w:ind w:left="1440" w:hanging="360"/>
      </w:pPr>
    </w:lvl>
    <w:lvl w:ilvl="2" w:tplc="CD1AFE22">
      <w:start w:val="1"/>
      <w:numFmt w:val="bullet"/>
      <w:lvlText w:val="■"/>
      <w:lvlJc w:val="left"/>
      <w:pPr>
        <w:ind w:left="2160" w:hanging="360"/>
      </w:pPr>
    </w:lvl>
    <w:lvl w:ilvl="3" w:tplc="295C1C9E">
      <w:start w:val="1"/>
      <w:numFmt w:val="bullet"/>
      <w:lvlText w:val="●"/>
      <w:lvlJc w:val="left"/>
      <w:pPr>
        <w:ind w:left="2880" w:hanging="360"/>
      </w:pPr>
    </w:lvl>
    <w:lvl w:ilvl="4" w:tplc="3FDEB450">
      <w:start w:val="1"/>
      <w:numFmt w:val="bullet"/>
      <w:lvlText w:val="○"/>
      <w:lvlJc w:val="left"/>
      <w:pPr>
        <w:ind w:left="3600" w:hanging="360"/>
      </w:pPr>
    </w:lvl>
    <w:lvl w:ilvl="5" w:tplc="DC7AB916">
      <w:start w:val="1"/>
      <w:numFmt w:val="bullet"/>
      <w:lvlText w:val="■"/>
      <w:lvlJc w:val="left"/>
      <w:pPr>
        <w:ind w:left="4320" w:hanging="360"/>
      </w:pPr>
    </w:lvl>
    <w:lvl w:ilvl="6" w:tplc="2564E37C">
      <w:start w:val="1"/>
      <w:numFmt w:val="bullet"/>
      <w:lvlText w:val="●"/>
      <w:lvlJc w:val="left"/>
      <w:pPr>
        <w:ind w:left="5040" w:hanging="360"/>
      </w:pPr>
    </w:lvl>
    <w:lvl w:ilvl="7" w:tplc="CDC4543A">
      <w:start w:val="1"/>
      <w:numFmt w:val="bullet"/>
      <w:lvlText w:val="●"/>
      <w:lvlJc w:val="left"/>
      <w:pPr>
        <w:ind w:left="5760" w:hanging="360"/>
      </w:pPr>
    </w:lvl>
    <w:lvl w:ilvl="8" w:tplc="A6D837E8">
      <w:start w:val="1"/>
      <w:numFmt w:val="bullet"/>
      <w:lvlText w:val="●"/>
      <w:lvlJc w:val="left"/>
      <w:pPr>
        <w:ind w:left="6480" w:hanging="360"/>
      </w:pPr>
    </w:lvl>
  </w:abstractNum>
  <w:abstractNum w:abstractNumId="2" w15:restartNumberingAfterBreak="0">
    <w:nsid w:val="6DD00213"/>
    <w:multiLevelType w:val="multilevel"/>
    <w:tmpl w:val="A6C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065347">
    <w:abstractNumId w:val="1"/>
    <w:lvlOverride w:ilvl="0">
      <w:startOverride w:val="1"/>
    </w:lvlOverride>
  </w:num>
  <w:num w:numId="2" w16cid:durableId="922684034">
    <w:abstractNumId w:val="0"/>
  </w:num>
  <w:num w:numId="3" w16cid:durableId="1804343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8A3"/>
    <w:rsid w:val="00036211"/>
    <w:rsid w:val="000E3B22"/>
    <w:rsid w:val="004C28A3"/>
    <w:rsid w:val="0067546B"/>
    <w:rsid w:val="007F2DE8"/>
    <w:rsid w:val="008439F8"/>
    <w:rsid w:val="00AA12EC"/>
    <w:rsid w:val="00E90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1E76"/>
  <w15:docId w15:val="{8B80F0D2-6A6C-4BD4-9E76-D2D26D7C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3B22"/>
    <w:pPr>
      <w:tabs>
        <w:tab w:val="center" w:pos="4513"/>
        <w:tab w:val="right" w:pos="9026"/>
      </w:tabs>
    </w:pPr>
  </w:style>
  <w:style w:type="character" w:customStyle="1" w:styleId="HeaderChar">
    <w:name w:val="Header Char"/>
    <w:basedOn w:val="DefaultParagraphFont"/>
    <w:link w:val="Header"/>
    <w:uiPriority w:val="99"/>
    <w:rsid w:val="000E3B22"/>
  </w:style>
  <w:style w:type="paragraph" w:styleId="Footer">
    <w:name w:val="footer"/>
    <w:basedOn w:val="Normal"/>
    <w:link w:val="FooterChar"/>
    <w:uiPriority w:val="99"/>
    <w:unhideWhenUsed/>
    <w:rsid w:val="000E3B22"/>
    <w:pPr>
      <w:tabs>
        <w:tab w:val="center" w:pos="4513"/>
        <w:tab w:val="right" w:pos="9026"/>
      </w:tabs>
    </w:pPr>
  </w:style>
  <w:style w:type="character" w:customStyle="1" w:styleId="FooterChar">
    <w:name w:val="Footer Char"/>
    <w:basedOn w:val="DefaultParagraphFont"/>
    <w:link w:val="Footer"/>
    <w:uiPriority w:val="99"/>
    <w:rsid w:val="000E3B22"/>
  </w:style>
  <w:style w:type="paragraph" w:styleId="NormalWeb">
    <w:name w:val="Normal (Web)"/>
    <w:basedOn w:val="Normal"/>
    <w:uiPriority w:val="99"/>
    <w:semiHidden/>
    <w:unhideWhenUsed/>
    <w:rsid w:val="000E3B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2026-07-09T07:23:00Z</dcterms:created>
  <dcterms:modified xsi:type="dcterms:W3CDTF">2026-07-09T08:13:00Z</dcterms:modified>
</cp:coreProperties>
</file>